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b/>
          <w:sz w:val="36"/>
          <w:szCs w:val="36"/>
        </w:rPr>
      </w:pPr>
      <w:r>
        <w:rPr>
          <w:rFonts w:ascii="宋体" w:hAnsi="宋体" w:eastAsia="宋体"/>
          <w:b/>
          <w:sz w:val="36"/>
          <w:szCs w:val="36"/>
        </w:rPr>
        <w:t>海南地震监测预警站网现代化提升工程项目</w:t>
      </w:r>
    </w:p>
    <w:p>
      <w:pPr>
        <w:jc w:val="center"/>
        <w:rPr>
          <w:rFonts w:ascii="宋体" w:hAnsi="宋体" w:eastAsia="宋体"/>
          <w:b/>
          <w:sz w:val="36"/>
          <w:szCs w:val="36"/>
        </w:rPr>
      </w:pPr>
      <w:r>
        <w:rPr>
          <w:rFonts w:ascii="宋体" w:hAnsi="宋体" w:eastAsia="宋体"/>
          <w:b/>
          <w:sz w:val="36"/>
          <w:szCs w:val="36"/>
        </w:rPr>
        <w:t>地震观测双链路通信分项</w:t>
      </w:r>
      <w:r>
        <w:rPr>
          <w:rFonts w:hint="eastAsia" w:ascii="宋体" w:hAnsi="宋体" w:eastAsia="宋体"/>
          <w:b/>
          <w:sz w:val="36"/>
          <w:szCs w:val="36"/>
        </w:rPr>
        <w:t>需求方案</w:t>
      </w:r>
    </w:p>
    <w:p>
      <w:pPr>
        <w:rPr>
          <w:rFonts w:ascii="宋体" w:hAnsi="宋体" w:eastAsia="宋体"/>
          <w:b/>
          <w:sz w:val="28"/>
          <w:szCs w:val="28"/>
        </w:rPr>
      </w:pPr>
      <w:bookmarkStart w:id="0" w:name="_GoBack"/>
    </w:p>
    <w:bookmarkEnd w:id="0"/>
    <w:p>
      <w:pPr>
        <w:ind w:firstLine="560" w:firstLineChars="200"/>
        <w:rPr>
          <w:rFonts w:ascii="宋体" w:hAnsi="宋体" w:eastAsia="宋体"/>
          <w:sz w:val="28"/>
          <w:szCs w:val="28"/>
        </w:rPr>
      </w:pPr>
      <w:r>
        <w:rPr>
          <w:rFonts w:hint="eastAsia" w:ascii="宋体" w:hAnsi="宋体" w:eastAsia="宋体"/>
          <w:sz w:val="28"/>
          <w:szCs w:val="28"/>
        </w:rPr>
        <w:t>一、项目需求</w:t>
      </w:r>
    </w:p>
    <w:p>
      <w:pPr>
        <w:spacing w:line="360" w:lineRule="auto"/>
        <w:ind w:firstLine="420" w:firstLineChars="200"/>
        <w:rPr>
          <w:rFonts w:hint="eastAsia" w:ascii="宋体" w:hAnsi="宋体" w:eastAsia="宋体" w:cs="宋体"/>
          <w:sz w:val="28"/>
          <w:szCs w:val="28"/>
        </w:rPr>
      </w:pPr>
      <w:r>
        <w:rPr>
          <w:rFonts w:hint="eastAsia" w:ascii="宋体" w:hAnsi="宋体" w:eastAsia="宋体" w:cs="宋体"/>
          <w:sz w:val="21"/>
          <w:szCs w:val="21"/>
          <w:lang w:val="en-US" w:eastAsia="zh-CN" w:bidi="ar"/>
          <w:woUserID w:val="1"/>
        </w:rPr>
        <w:t>海南地震监测预警站网现代化提升工程台站双链路建设项目要求各监测预警站终端到预警中心流服务器建立安全、稳定、可靠的台站直传通信链路，确保预警数据实时上传。利用5G网络作为备份实现有线和无线业务的融合，在台站断光纤中断情况下自动切换到5G设备传输信号，切换时间5秒内；在光纤恢复通信后自动由5G信号切换到光纤信号，切换时间5秒内。</w:t>
      </w:r>
    </w:p>
    <w:p>
      <w:pPr>
        <w:ind w:firstLine="560" w:firstLineChars="200"/>
        <w:rPr>
          <w:rFonts w:hint="eastAsia" w:ascii="宋体" w:hAnsi="宋体" w:eastAsia="宋体"/>
          <w:sz w:val="28"/>
          <w:szCs w:val="28"/>
        </w:rPr>
      </w:pPr>
      <w:r>
        <w:rPr>
          <w:rFonts w:hint="eastAsia" w:ascii="宋体" w:hAnsi="宋体" w:eastAsia="宋体"/>
          <w:sz w:val="28"/>
          <w:szCs w:val="28"/>
        </w:rPr>
        <w:t>二、工程量清单</w:t>
      </w:r>
    </w:p>
    <w:tbl>
      <w:tblPr>
        <w:tblStyle w:val="2"/>
        <w:tblpPr w:leftFromText="180" w:rightFromText="180" w:vertAnchor="text" w:horzAnchor="page" w:tblpX="1257" w:tblpY="655"/>
        <w:tblOverlap w:val="never"/>
        <w:tblW w:w="9510" w:type="dxa"/>
        <w:tblInd w:w="0" w:type="dxa"/>
        <w:tblLayout w:type="fixed"/>
        <w:tblCellMar>
          <w:top w:w="0" w:type="dxa"/>
          <w:left w:w="108" w:type="dxa"/>
          <w:bottom w:w="0" w:type="dxa"/>
          <w:right w:w="108" w:type="dxa"/>
        </w:tblCellMar>
      </w:tblPr>
      <w:tblGrid>
        <w:gridCol w:w="1202"/>
        <w:gridCol w:w="1539"/>
        <w:gridCol w:w="6769"/>
      </w:tblGrid>
      <w:tr>
        <w:tblPrEx>
          <w:tblLayout w:type="fixed"/>
          <w:tblCellMar>
            <w:top w:w="0" w:type="dxa"/>
            <w:left w:w="108" w:type="dxa"/>
            <w:bottom w:w="0" w:type="dxa"/>
            <w:right w:w="108" w:type="dxa"/>
          </w:tblCellMar>
        </w:tblPrEx>
        <w:trPr>
          <w:trHeight w:val="52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项目</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ascii="仿宋" w:hAnsi="仿宋" w:eastAsia="仿宋" w:cs="仿宋"/>
                <w:color w:val="000000"/>
                <w:kern w:val="2"/>
                <w:sz w:val="20"/>
                <w:szCs w:val="20"/>
              </w:rPr>
              <w:t>数量及服务</w:t>
            </w:r>
          </w:p>
        </w:tc>
      </w:tr>
      <w:tr>
        <w:tblPrEx>
          <w:tblLayout w:type="fixed"/>
          <w:tblCellMar>
            <w:top w:w="0" w:type="dxa"/>
            <w:left w:w="108" w:type="dxa"/>
            <w:bottom w:w="0" w:type="dxa"/>
            <w:right w:w="108" w:type="dxa"/>
          </w:tblCellMar>
        </w:tblPrEx>
        <w:trPr>
          <w:trHeight w:val="589"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工业级5G CPE</w:t>
            </w:r>
          </w:p>
        </w:tc>
        <w:tc>
          <w:tcPr>
            <w:tcW w:w="676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仿宋"/>
                <w:color w:val="000000"/>
                <w:kern w:val="2"/>
                <w:sz w:val="20"/>
                <w:szCs w:val="20"/>
              </w:rPr>
            </w:pPr>
            <w:r>
              <w:rPr>
                <w:rFonts w:hint="eastAsia" w:ascii="仿宋" w:hAnsi="仿宋" w:eastAsia="仿宋" w:cs="仿宋"/>
                <w:color w:val="000000"/>
                <w:kern w:val="2"/>
                <w:sz w:val="20"/>
                <w:szCs w:val="20"/>
              </w:rPr>
              <w:t>32台</w:t>
            </w:r>
          </w:p>
        </w:tc>
      </w:tr>
      <w:tr>
        <w:tblPrEx>
          <w:tblLayout w:type="fixed"/>
          <w:tblCellMar>
            <w:top w:w="0" w:type="dxa"/>
            <w:left w:w="108" w:type="dxa"/>
            <w:bottom w:w="0" w:type="dxa"/>
            <w:right w:w="108" w:type="dxa"/>
          </w:tblCellMar>
        </w:tblPrEx>
        <w:trPr>
          <w:trHeight w:val="280" w:hRule="atLeast"/>
        </w:trPr>
        <w:tc>
          <w:tcPr>
            <w:tcW w:w="1202"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2</w:t>
            </w:r>
          </w:p>
        </w:tc>
        <w:tc>
          <w:tcPr>
            <w:tcW w:w="153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技术支撑服务</w:t>
            </w:r>
          </w:p>
        </w:tc>
        <w:tc>
          <w:tcPr>
            <w:tcW w:w="676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1、负责本期建设内容与原网络系统的组网规划技术支撑；</w:t>
            </w:r>
          </w:p>
        </w:tc>
      </w:tr>
      <w:tr>
        <w:tblPrEx>
          <w:tblLayout w:type="fixed"/>
          <w:tblCellMar>
            <w:top w:w="0" w:type="dxa"/>
            <w:left w:w="108" w:type="dxa"/>
            <w:bottom w:w="0" w:type="dxa"/>
            <w:right w:w="108" w:type="dxa"/>
          </w:tblCellMar>
        </w:tblPrEx>
        <w:trPr>
          <w:trHeight w:val="520" w:hRule="atLeast"/>
        </w:trPr>
        <w:tc>
          <w:tcPr>
            <w:tcW w:w="120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kern w:val="2"/>
                <w:sz w:val="20"/>
                <w:szCs w:val="20"/>
              </w:rPr>
            </w:pPr>
          </w:p>
        </w:tc>
        <w:tc>
          <w:tcPr>
            <w:tcW w:w="153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kern w:val="2"/>
                <w:sz w:val="20"/>
                <w:szCs w:val="20"/>
              </w:rPr>
            </w:pPr>
          </w:p>
        </w:tc>
        <w:tc>
          <w:tcPr>
            <w:tcW w:w="6769"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2、负责本期建设项目涉及的32台设备在工程台站双链路使用过程的网络技术支撑</w:t>
            </w:r>
          </w:p>
        </w:tc>
      </w:tr>
      <w:tr>
        <w:tblPrEx>
          <w:tblLayout w:type="fixed"/>
          <w:tblCellMar>
            <w:top w:w="0" w:type="dxa"/>
            <w:left w:w="108" w:type="dxa"/>
            <w:bottom w:w="0" w:type="dxa"/>
            <w:right w:w="108" w:type="dxa"/>
          </w:tblCellMar>
        </w:tblPrEx>
        <w:trPr>
          <w:trHeight w:val="52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集成服务费</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集成服务费</w:t>
            </w:r>
          </w:p>
        </w:tc>
      </w:tr>
      <w:tr>
        <w:tblPrEx>
          <w:tblLayout w:type="fixed"/>
          <w:tblCellMar>
            <w:top w:w="0" w:type="dxa"/>
            <w:left w:w="108" w:type="dxa"/>
            <w:bottom w:w="0" w:type="dxa"/>
            <w:right w:w="108" w:type="dxa"/>
          </w:tblCellMar>
        </w:tblPrEx>
        <w:trPr>
          <w:trHeight w:val="28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5G流量</w:t>
            </w:r>
          </w:p>
        </w:tc>
        <w:tc>
          <w:tcPr>
            <w:tcW w:w="676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仿宋"/>
                <w:color w:val="000000"/>
                <w:kern w:val="2"/>
                <w:sz w:val="20"/>
                <w:szCs w:val="20"/>
              </w:rPr>
            </w:pPr>
            <w:r>
              <w:rPr>
                <w:rFonts w:hint="eastAsia" w:ascii="仿宋" w:hAnsi="仿宋" w:eastAsia="仿宋" w:cs="仿宋"/>
                <w:color w:val="000000"/>
                <w:sz w:val="20"/>
                <w:szCs w:val="20"/>
              </w:rPr>
              <w:t>60G/年/张</w:t>
            </w:r>
          </w:p>
        </w:tc>
      </w:tr>
    </w:tbl>
    <w:p>
      <w:pPr>
        <w:ind w:firstLine="560" w:firstLineChars="200"/>
        <w:rPr>
          <w:rFonts w:ascii="宋体" w:hAnsi="宋体" w:eastAsia="宋体"/>
          <w:sz w:val="28"/>
          <w:szCs w:val="28"/>
        </w:rPr>
      </w:pPr>
    </w:p>
    <w:p>
      <w:pPr>
        <w:spacing w:line="220" w:lineRule="atLeast"/>
        <w:rPr>
          <w:rFonts w:hint="eastAsia"/>
        </w:rPr>
      </w:pPr>
      <w:r>
        <w:rPr>
          <w:rFonts w:hint="eastAsia"/>
        </w:rPr>
        <w:t xml:space="preserve">       三、网络设计方案</w:t>
      </w:r>
    </w:p>
    <w:p>
      <w:pPr>
        <w:spacing w:line="220" w:lineRule="atLeast"/>
      </w:pPr>
      <w:r>
        <w:drawing>
          <wp:inline distT="0" distB="0" distL="0" distR="0">
            <wp:extent cx="5266690" cy="233553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cstate="print"/>
                    <a:stretch>
                      <a:fillRect/>
                    </a:stretch>
                  </pic:blipFill>
                  <pic:spPr>
                    <a:xfrm>
                      <a:off x="0" y="0"/>
                      <a:ext cx="5266690" cy="2335530"/>
                    </a:xfrm>
                    <a:prstGeom prst="rect">
                      <a:avLst/>
                    </a:prstGeom>
                  </pic:spPr>
                </pic:pic>
              </a:graphicData>
            </a:graphic>
          </wp:inline>
        </w:drawing>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
    <w:altName w:val="汉仪仿宋KW"/>
    <w:panose1 w:val="02010609060101010101"/>
    <w:charset w:val="86"/>
    <w:family w:val="modern"/>
    <w:pitch w:val="default"/>
    <w:sig w:usb0="00000000" w:usb1="00000000" w:usb2="00000016" w:usb3="00000000" w:csb0="00040001"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汉仪中黑KW"/>
    <w:panose1 w:val="020B0503020204020204"/>
    <w:charset w:val="86"/>
    <w:family w:val="auto"/>
    <w:pitch w:val="variable"/>
    <w:sig w:usb0="80000287" w:usb1="280F3C52" w:usb2="00000016" w:usb3="00000000" w:csb0="0004001F" w:csb1="00000000"/>
  </w:font>
  <w:font w:name="Cambria Math">
    <w:altName w:val="Kingsoft Math"/>
    <w:panose1 w:val="02040503050406030204"/>
    <w:charset w:val="00"/>
    <w:family w:val="auto"/>
    <w:pitch w:val="variable"/>
    <w:sig w:usb0="E00002FF" w:usb1="420024FF" w:usb2="00000000" w:usb3="00000000" w:csb0="0000019F" w:csb1="00000000"/>
  </w:font>
  <w:font w:name="Kingsoft Math">
    <w:panose1 w:val="02040503050406030204"/>
    <w:charset w:val="00"/>
    <w:family w:val="auto"/>
    <w:pitch w:val="default"/>
    <w:sig w:usb0="80000087" w:usb1="00002068"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D31D50"/>
    <w:rsid w:val="0020562E"/>
    <w:rsid w:val="00323B43"/>
    <w:rsid w:val="003614B3"/>
    <w:rsid w:val="003D37D8"/>
    <w:rsid w:val="00426133"/>
    <w:rsid w:val="004358AB"/>
    <w:rsid w:val="008B7726"/>
    <w:rsid w:val="00CD2035"/>
    <w:rsid w:val="00D31D50"/>
    <w:rsid w:val="7EB37588"/>
    <w:rsid w:val="7FFF8B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pPr>
      <w:keepNext w:val="0"/>
      <w:keepLines w:val="0"/>
      <w:widowControl/>
      <w:suppressLineNumbers w:val="0"/>
      <w:spacing w:before="0" w:beforeAutospacing="0" w:after="200" w:afterAutospacing="0" w:line="220" w:lineRule="atLeast"/>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47</Words>
  <Characters>269</Characters>
  <Lines>2</Lines>
  <Paragraphs>1</Paragraphs>
  <TotalTime>17</TotalTime>
  <ScaleCrop>false</ScaleCrop>
  <LinksUpToDate>false</LinksUpToDate>
  <CharactersWithSpaces>315</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cp:lastModifiedBy>Administrator</cp:lastModifiedBy>
  <dcterms:modified xsi:type="dcterms:W3CDTF">2023-08-22T12:08:05Z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