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left="3237" w:leftChars="304" w:hanging="2599" w:hangingChars="809"/>
        <w:jc w:val="left"/>
        <w:rPr>
          <w:rFonts w:hint="default" w:ascii="宋体" w:hAnsi="宋体" w:cs="Times New Roman"/>
          <w:b/>
          <w:bCs/>
          <w:kern w:val="0"/>
          <w:sz w:val="32"/>
          <w:szCs w:val="32"/>
          <w:lang w:val="en-US" w:eastAsia="zh-CN"/>
        </w:rPr>
      </w:pPr>
      <w:bookmarkStart w:id="0" w:name="_Toc145333390"/>
      <w:r>
        <w:rPr>
          <w:rFonts w:hint="eastAsia" w:ascii="宋体" w:hAnsi="宋体"/>
          <w:b/>
          <w:bCs/>
          <w:sz w:val="32"/>
          <w:szCs w:val="32"/>
          <w:highlight w:val="none"/>
          <w:lang w:val="en-US" w:eastAsia="zh-CN"/>
        </w:rPr>
        <w:t>冯家湾现代化渔业产业园区域性地震安全性评价项目钻探服务</w:t>
      </w:r>
      <w:r>
        <w:rPr>
          <w:rFonts w:hint="eastAsia" w:ascii="宋体" w:hAnsi="宋体" w:cs="Times New Roman"/>
          <w:b/>
          <w:bCs/>
          <w:kern w:val="0"/>
          <w:sz w:val="32"/>
          <w:szCs w:val="32"/>
          <w:lang w:val="en-US" w:eastAsia="zh-CN"/>
        </w:rPr>
        <w:t>采购</w:t>
      </w:r>
      <w:bookmarkEnd w:id="0"/>
      <w:r>
        <w:rPr>
          <w:rFonts w:hint="eastAsia" w:ascii="宋体" w:hAnsi="宋体" w:cs="Times New Roman"/>
          <w:b/>
          <w:bCs/>
          <w:kern w:val="0"/>
          <w:sz w:val="32"/>
          <w:szCs w:val="32"/>
          <w:lang w:val="en-US" w:eastAsia="zh-CN"/>
        </w:rPr>
        <w:t>要求</w:t>
      </w:r>
      <w:bookmarkStart w:id="7" w:name="_GoBack"/>
      <w:bookmarkEnd w:id="7"/>
    </w:p>
    <w:p>
      <w:pPr>
        <w:pStyle w:val="3"/>
        <w:spacing w:line="360" w:lineRule="auto"/>
        <w:ind w:firstLine="0"/>
        <w:outlineLvl w:val="1"/>
        <w:rPr>
          <w:rFonts w:ascii="宋体" w:hAnsi="宋体"/>
          <w:b/>
          <w:sz w:val="28"/>
          <w:szCs w:val="24"/>
        </w:rPr>
      </w:pPr>
      <w:bookmarkStart w:id="1" w:name="_Toc145333392"/>
      <w:bookmarkStart w:id="2" w:name="_Toc100305577"/>
      <w:bookmarkStart w:id="3" w:name="_Toc96967089"/>
      <w:bookmarkStart w:id="4" w:name="_Toc251570873"/>
      <w:r>
        <w:rPr>
          <w:rFonts w:hint="eastAsia" w:ascii="宋体" w:hAnsi="宋体"/>
          <w:b/>
          <w:sz w:val="28"/>
          <w:szCs w:val="24"/>
          <w:lang w:val="en-US" w:eastAsia="zh-CN"/>
        </w:rPr>
        <w:t>一</w:t>
      </w:r>
      <w:r>
        <w:rPr>
          <w:rFonts w:hint="eastAsia" w:ascii="宋体" w:hAnsi="宋体"/>
          <w:b/>
          <w:sz w:val="28"/>
          <w:szCs w:val="24"/>
        </w:rPr>
        <w:t>、服务内容及标准（技术要求）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bookmarkStart w:id="5" w:name="_Toc145333393"/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.</w:t>
      </w:r>
      <w:r>
        <w:rPr>
          <w:rFonts w:hint="eastAsia" w:ascii="宋体" w:hAnsi="宋体"/>
          <w:sz w:val="24"/>
          <w:szCs w:val="24"/>
        </w:rPr>
        <w:t>地震工程地质条件调查、钻探和原位测试工作应当满足综合评价目标区工程场地特性、建立地层结构数据体和初步评价地震地质灾害的需要。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.</w:t>
      </w:r>
      <w:r>
        <w:rPr>
          <w:rFonts w:hint="eastAsia" w:ascii="宋体" w:hAnsi="宋体"/>
          <w:sz w:val="24"/>
          <w:szCs w:val="24"/>
        </w:rPr>
        <w:t>调查应当结合目标区及其附近地貌、地层、岩性、地质构造、水文地质条件、场地土类型、场地类别等已有工程地质条件资料，通过地球物理探测等方法研究场地第四纪沉积的不均匀性；调查地震造成的目标区及其附近砂土液化、软土震陷、地表破裂、滑坡崩塌等地震地质灾害现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根据目标区工程地质条件和目标区建设工程的功能布局规划，合理布置钻孔。除基岩区外，控制孔的空间间隔不大于700m，已规划的重要工程场地至少应当布置1个控制孔，对于浅部土层结构复杂地段加密钻孔进行控制。钻孔及测试相关要求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控制孔钻孔深度：应达到基岩，或剪切波速不小于500m/s处，且其下不存在更低波速岩土层。若控制孔深度超过100m时，剪切波速仍小于500m/s，且100m以下的剪切波速值可依据相关资料类比或通过经验模型确定时，可终孔，但目标区应至少有1个钻孔达到剪切波速不小于500m/s的深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选择典型钻孔进行原状土样采集：自然分层中应对代表性岩土层取样，间隔分布的同类岩土层间距超过5m时，应分别取样。典型钻孔数量应不少于控制孔数量的1/3，且对特殊地层具有控制作用，同时在空间展布上具有控制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（3）钻孔岩土层物理性能指标原位测试：包括天然含水量、比重、天然密度、干密度等，以及标准贯入锤击数、粘粒含量、地下水位、可液化地层厚度等。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（4）通过岩土动力特性试验，测定剪变模量比与剪应变关系、阻尼比与剪应变关系。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（5）钻孔岩土层波速测量：测量不同深度岩土层剪切波速，测量深度间距不大于1m，在地层分界附近加密测点。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（6）编制钻孔分布图、柱状图，根据钻孔资料编制目标区不同方向的控制性综合工程地质剖面图。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（7）判别每一个钻孔位置的场地类别，并给出目标区场地类别分区图。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综合目标区工程地质条件资料和控制孔、原位测试、岩土样试验结果等，建立目标区地层结构模型。地层结构模型的平面控制节点间隔不大于700m，竖向控制节点间隔不大于5m。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设计实施钻探</w:t>
      </w:r>
      <w:r>
        <w:rPr>
          <w:rFonts w:hint="eastAsia" w:ascii="宋体" w:hAnsi="宋体"/>
          <w:sz w:val="24"/>
          <w:szCs w:val="24"/>
          <w:lang w:val="en-US" w:eastAsia="zh-CN"/>
        </w:rPr>
        <w:t>19</w:t>
      </w:r>
      <w:r>
        <w:rPr>
          <w:rFonts w:hint="eastAsia" w:ascii="宋体" w:hAnsi="宋体"/>
          <w:sz w:val="24"/>
          <w:szCs w:val="24"/>
        </w:rPr>
        <w:t>个，预计深度</w:t>
      </w:r>
      <w:r>
        <w:rPr>
          <w:rFonts w:hint="eastAsia" w:ascii="宋体" w:hAnsi="宋体"/>
          <w:sz w:val="24"/>
          <w:szCs w:val="24"/>
          <w:lang w:val="en-US" w:eastAsia="zh-CN"/>
        </w:rPr>
        <w:t>70</w:t>
      </w:r>
      <w:r>
        <w:rPr>
          <w:rFonts w:hint="eastAsia" w:ascii="宋体" w:hAnsi="宋体"/>
          <w:sz w:val="24"/>
          <w:szCs w:val="24"/>
        </w:rPr>
        <w:t>m×</w:t>
      </w:r>
      <w:r>
        <w:rPr>
          <w:rFonts w:hint="eastAsia" w:ascii="宋体" w:hAnsi="宋体"/>
          <w:sz w:val="24"/>
          <w:szCs w:val="24"/>
          <w:lang w:val="en-US" w:eastAsia="zh-CN"/>
        </w:rPr>
        <w:t>19</w:t>
      </w:r>
      <w:r>
        <w:rPr>
          <w:rFonts w:hint="eastAsia" w:ascii="宋体" w:hAnsi="宋体"/>
          <w:sz w:val="24"/>
          <w:szCs w:val="24"/>
        </w:rPr>
        <w:t>孔=</w:t>
      </w:r>
      <w:r>
        <w:rPr>
          <w:rFonts w:hint="eastAsia" w:ascii="宋体" w:hAnsi="宋体"/>
          <w:sz w:val="24"/>
          <w:szCs w:val="24"/>
          <w:lang w:val="en-US" w:eastAsia="zh-CN"/>
        </w:rPr>
        <w:t>1330</w:t>
      </w:r>
      <w:r>
        <w:rPr>
          <w:rFonts w:hint="eastAsia" w:ascii="宋体" w:hAnsi="宋体"/>
          <w:sz w:val="24"/>
          <w:szCs w:val="24"/>
        </w:rPr>
        <w:t>m。</w:t>
      </w:r>
    </w:p>
    <w:bookmarkEnd w:id="2"/>
    <w:bookmarkEnd w:id="3"/>
    <w:bookmarkEnd w:id="4"/>
    <w:bookmarkEnd w:id="5"/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2" w:firstLineChars="200"/>
        <w:textAlignment w:val="auto"/>
        <w:rPr>
          <w:rFonts w:ascii="宋体" w:hAnsi="宋体"/>
          <w:sz w:val="24"/>
          <w:szCs w:val="24"/>
        </w:rPr>
      </w:pPr>
      <w:bookmarkStart w:id="6" w:name="_Toc145333397"/>
      <w:r>
        <w:rPr>
          <w:rFonts w:hint="eastAsia" w:ascii="宋体" w:hAnsi="宋体"/>
          <w:sz w:val="24"/>
          <w:szCs w:val="24"/>
          <w:lang w:val="en-US" w:eastAsia="zh-CN"/>
        </w:rPr>
        <w:t>二、</w:t>
      </w:r>
      <w:r>
        <w:rPr>
          <w:rFonts w:hint="eastAsia" w:ascii="宋体" w:hAnsi="宋体"/>
          <w:sz w:val="24"/>
          <w:szCs w:val="24"/>
        </w:rPr>
        <w:t>其他</w:t>
      </w:r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（1）验收要求：</w:t>
      </w:r>
      <w:r>
        <w:rPr>
          <w:rFonts w:hint="eastAsia" w:ascii="宋体" w:hAnsi="宋体"/>
          <w:sz w:val="24"/>
          <w:szCs w:val="28"/>
        </w:rPr>
        <w:t>按国家、行业及海南省的有关规定标准，以及采购文件的实质性要求、成交方的响应文件和承诺、及采购合同的约定进行验收。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4"/>
        </w:rPr>
        <w:t>（2）在验收时，如发现成交人提供的服务不能满足验收要求（如出现虚假应标）的，采购人将拒绝验收，同时采购人有权单方面解除合同，并要求中标人承担相应的法律责任及所造成的损失赔偿，涉嫌违法违规行为的报行业主管部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YzZhYjUwN2Y0ODYyZTVjOGMyYzU1YTRjNjc2ZmQifQ=="/>
  </w:docVars>
  <w:rsids>
    <w:rsidRoot w:val="639D636A"/>
    <w:rsid w:val="3A010C1E"/>
    <w:rsid w:val="51877708"/>
    <w:rsid w:val="639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</w:rPr>
  </w:style>
  <w:style w:type="character" w:styleId="8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2024-01-15T01:43:00Z</dcterms:created>
  <dc:creator>caicai</dc:creator>
  <cp:lastModifiedBy>辛巴</cp:lastModifiedBy>
  <dcterms:modified xsi:type="dcterms:W3CDTF">2024-01-15T02:35:05Z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C3A19E75178048A1A26B21FC675E1F26_11</vt:lpwstr>
  </property>
</Properties>
</file>