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宋体" w:hAnsi="宋体" w:eastAsia="宋体"/>
          <w:b w:val="0"/>
          <w:bCs w:val="0"/>
          <w:color w:val="000000"/>
          <w:sz w:val="32"/>
          <w:szCs w:val="32"/>
          <w:lang w:val="en-US" w:eastAsia="zh-CN"/>
        </w:rPr>
      </w:pPr>
      <w:r>
        <w:rPr>
          <w:rFonts w:hint="eastAsia" w:ascii="宋体" w:hAnsi="宋体" w:eastAsia="宋体"/>
          <w:b w:val="0"/>
          <w:bCs w:val="0"/>
          <w:color w:val="000000"/>
          <w:sz w:val="32"/>
          <w:szCs w:val="32"/>
          <w:lang w:val="en-US" w:eastAsia="zh-CN"/>
        </w:rPr>
        <w:t>附件</w:t>
      </w:r>
      <w:bookmarkStart w:id="0" w:name="_GoBack"/>
      <w:bookmarkEnd w:id="0"/>
    </w:p>
    <w:p>
      <w:pPr>
        <w:spacing w:line="578" w:lineRule="exact"/>
        <w:rPr>
          <w:rFonts w:ascii="宋体" w:hAnsi="宋体" w:eastAsia="宋体"/>
          <w:b/>
          <w:bCs/>
          <w:color w:val="000000"/>
          <w:sz w:val="44"/>
          <w:szCs w:val="44"/>
        </w:rPr>
      </w:pPr>
    </w:p>
    <w:p>
      <w:pPr>
        <w:spacing w:line="578" w:lineRule="exact"/>
        <w:jc w:val="center"/>
        <w:rPr>
          <w:rFonts w:ascii="宋体" w:hAnsi="宋体" w:eastAsia="宋体"/>
          <w:b/>
          <w:bCs/>
          <w:color w:val="000000"/>
          <w:sz w:val="44"/>
          <w:szCs w:val="44"/>
        </w:rPr>
      </w:pPr>
      <w:r>
        <w:rPr>
          <w:rFonts w:hint="eastAsia" w:ascii="宋体" w:hAnsi="宋体" w:eastAsia="宋体"/>
          <w:b/>
          <w:bCs/>
          <w:color w:val="000000"/>
          <w:sz w:val="44"/>
          <w:szCs w:val="44"/>
        </w:rPr>
        <w:t>2019年海南省地震局防震减灾规划及体系建设项目绩效评价报告</w:t>
      </w:r>
    </w:p>
    <w:p>
      <w:pPr>
        <w:rPr>
          <w:rFonts w:eastAsia="黑体"/>
          <w:sz w:val="28"/>
          <w:szCs w:val="28"/>
        </w:rPr>
      </w:pPr>
    </w:p>
    <w:p>
      <w:pPr>
        <w:rPr>
          <w:rFonts w:ascii="宋体" w:hAnsi="宋体" w:eastAsia="宋体"/>
          <w:sz w:val="28"/>
          <w:szCs w:val="28"/>
        </w:rPr>
      </w:pPr>
    </w:p>
    <w:p>
      <w:pPr>
        <w:rPr>
          <w:rFonts w:ascii="宋体" w:hAnsi="宋体" w:eastAsia="宋体"/>
          <w:sz w:val="28"/>
          <w:szCs w:val="28"/>
        </w:rPr>
      </w:pPr>
    </w:p>
    <w:p>
      <w:pPr>
        <w:rPr>
          <w:rFonts w:hAnsi="宋体"/>
          <w:sz w:val="28"/>
          <w:szCs w:val="28"/>
          <w:u w:val="single"/>
        </w:rPr>
      </w:pPr>
      <w:r>
        <w:rPr>
          <w:rFonts w:hint="eastAsia" w:ascii="宋体" w:hAnsi="宋体" w:eastAsia="宋体"/>
          <w:sz w:val="28"/>
          <w:szCs w:val="28"/>
        </w:rPr>
        <w:t xml:space="preserve">    </w:t>
      </w:r>
      <w:r>
        <w:rPr>
          <w:rFonts w:hint="eastAsia" w:hAnsi="宋体"/>
          <w:sz w:val="28"/>
          <w:szCs w:val="28"/>
        </w:rPr>
        <w:t xml:space="preserve"> 评价类型：</w:t>
      </w:r>
      <w:r>
        <w:rPr>
          <w:rFonts w:hAnsi="宋体"/>
          <w:spacing w:val="-20"/>
          <w:sz w:val="36"/>
          <w:u w:val="single"/>
        </w:rPr>
        <w:fldChar w:fldCharType="begin"/>
      </w:r>
      <w:r>
        <w:rPr>
          <w:rFonts w:hAnsi="宋体"/>
          <w:spacing w:val="-20"/>
          <w:sz w:val="36"/>
          <w:u w:val="single"/>
        </w:rPr>
        <w:instrText xml:space="preserve"> </w:instrText>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实施过程评价</w:t>
      </w:r>
      <w:r>
        <w:rPr>
          <w:rFonts w:hint="eastAsia" w:hAnsi="宋体"/>
          <w:sz w:val="28"/>
          <w:szCs w:val="28"/>
        </w:rPr>
        <w:t xml:space="preserve">      </w:t>
      </w:r>
      <w:r>
        <w:rPr>
          <w:rFonts w:hint="eastAsia" w:hAnsi="宋体"/>
          <w:spacing w:val="-20"/>
          <w:sz w:val="36"/>
          <w:u w:val="single"/>
        </w:rPr>
        <w:t>□</w:t>
      </w:r>
      <w:r>
        <w:rPr>
          <w:rFonts w:hint="eastAsia" w:hAnsi="宋体"/>
          <w:sz w:val="28"/>
          <w:szCs w:val="28"/>
          <w:u w:val="single"/>
        </w:rPr>
        <w:t>完成结果评价</w:t>
      </w:r>
    </w:p>
    <w:p>
      <w:pPr>
        <w:ind w:left="1400" w:hanging="1400" w:hangingChars="500"/>
        <w:rPr>
          <w:rFonts w:hAnsi="宋体"/>
          <w:sz w:val="28"/>
          <w:szCs w:val="28"/>
        </w:rPr>
      </w:pPr>
      <w:r>
        <w:rPr>
          <w:rFonts w:hint="eastAsia" w:hAnsi="宋体"/>
          <w:sz w:val="28"/>
          <w:szCs w:val="28"/>
        </w:rPr>
        <w:t xml:space="preserve">     项目名称： </w:t>
      </w:r>
      <w:r>
        <w:rPr>
          <w:rFonts w:hint="eastAsia" w:hAnsi="宋体"/>
          <w:sz w:val="28"/>
          <w:szCs w:val="28"/>
          <w:u w:val="single"/>
        </w:rPr>
        <w:t xml:space="preserve">      防震减灾规划及体系建设               </w:t>
      </w:r>
    </w:p>
    <w:p>
      <w:pPr>
        <w:ind w:left="1400" w:hanging="1400" w:hangingChars="500"/>
        <w:rPr>
          <w:rFonts w:hAnsi="宋体"/>
          <w:sz w:val="28"/>
          <w:szCs w:val="28"/>
        </w:rPr>
      </w:pPr>
      <w:r>
        <w:rPr>
          <w:rFonts w:hint="eastAsia" w:hAnsi="宋体"/>
          <w:sz w:val="28"/>
          <w:szCs w:val="28"/>
        </w:rPr>
        <w:t xml:space="preserve">     项目单位： </w:t>
      </w:r>
      <w:r>
        <w:rPr>
          <w:rFonts w:hint="eastAsia" w:hAnsi="宋体"/>
          <w:sz w:val="28"/>
          <w:szCs w:val="28"/>
          <w:u w:val="single"/>
        </w:rPr>
        <w:t xml:space="preserve">          海南省地震局                     </w:t>
      </w:r>
    </w:p>
    <w:p>
      <w:pPr>
        <w:ind w:left="1400" w:hanging="1400" w:hangingChars="500"/>
        <w:rPr>
          <w:rFonts w:hAnsi="宋体"/>
          <w:sz w:val="28"/>
          <w:szCs w:val="28"/>
        </w:rPr>
      </w:pPr>
      <w:r>
        <w:rPr>
          <w:rFonts w:hint="eastAsia" w:hAnsi="宋体"/>
          <w:sz w:val="28"/>
          <w:szCs w:val="28"/>
        </w:rPr>
        <w:t xml:space="preserve">     主管部门： </w:t>
      </w:r>
      <w:r>
        <w:rPr>
          <w:rFonts w:hint="eastAsia" w:hAnsi="宋体"/>
          <w:sz w:val="28"/>
          <w:szCs w:val="28"/>
          <w:u w:val="single"/>
        </w:rPr>
        <w:t xml:space="preserve">          海南省地震局                     </w:t>
      </w:r>
      <w:r>
        <w:rPr>
          <w:rFonts w:hint="eastAsia" w:hAnsi="宋体"/>
          <w:sz w:val="28"/>
          <w:szCs w:val="28"/>
        </w:rPr>
        <w:t xml:space="preserve">  </w:t>
      </w:r>
    </w:p>
    <w:p>
      <w:pPr>
        <w:ind w:left="1400" w:hanging="1400" w:hangingChars="500"/>
        <w:rPr>
          <w:rFonts w:hAnsi="宋体"/>
          <w:sz w:val="28"/>
          <w:szCs w:val="28"/>
        </w:rPr>
      </w:pPr>
      <w:r>
        <w:rPr>
          <w:rFonts w:hint="eastAsia" w:hAnsi="宋体"/>
          <w:sz w:val="28"/>
          <w:szCs w:val="28"/>
        </w:rPr>
        <w:t xml:space="preserve">     评价时间： </w:t>
      </w:r>
      <w:r>
        <w:rPr>
          <w:rFonts w:hint="eastAsia" w:hAnsi="宋体"/>
          <w:sz w:val="28"/>
          <w:szCs w:val="28"/>
          <w:u w:val="single"/>
        </w:rPr>
        <w:t xml:space="preserve">  2019年 1月 1 日至 2019年 12月 31日</w:t>
      </w:r>
    </w:p>
    <w:p>
      <w:pPr>
        <w:ind w:left="1400" w:hanging="1400" w:hangingChars="500"/>
        <w:rPr>
          <w:rFonts w:hAnsi="宋体"/>
          <w:sz w:val="28"/>
          <w:szCs w:val="28"/>
          <w:u w:val="single"/>
        </w:rPr>
      </w:pPr>
      <w:r>
        <w:rPr>
          <w:rFonts w:hint="eastAsia" w:hAnsi="宋体"/>
          <w:sz w:val="28"/>
          <w:szCs w:val="28"/>
        </w:rPr>
        <w:t xml:space="preserve">     组织方式：</w:t>
      </w:r>
      <w:r>
        <w:rPr>
          <w:rFonts w:hint="eastAsia" w:hAnsi="宋体"/>
          <w:spacing w:val="-20"/>
          <w:sz w:val="36"/>
          <w:u w:val="single"/>
        </w:rPr>
        <w:t>□</w:t>
      </w:r>
      <w:r>
        <w:rPr>
          <w:rFonts w:hint="eastAsia" w:hAnsi="宋体"/>
          <w:sz w:val="28"/>
          <w:szCs w:val="28"/>
          <w:u w:val="single"/>
        </w:rPr>
        <w:t xml:space="preserve">财政部门 </w:t>
      </w:r>
      <w:r>
        <w:rPr>
          <w:rFonts w:hint="eastAsia" w:hAnsi="宋体"/>
          <w:sz w:val="28"/>
          <w:szCs w:val="28"/>
        </w:rPr>
        <w:t xml:space="preserve">    </w:t>
      </w:r>
      <w:r>
        <w:rPr>
          <w:rFonts w:hAnsi="宋体"/>
          <w:spacing w:val="-20"/>
          <w:sz w:val="36"/>
          <w:u w:val="single"/>
        </w:rPr>
        <w:fldChar w:fldCharType="begin"/>
      </w:r>
      <w:r>
        <w:rPr>
          <w:rFonts w:hAnsi="宋体"/>
          <w:spacing w:val="-20"/>
          <w:sz w:val="36"/>
          <w:u w:val="single"/>
        </w:rPr>
        <w:instrText xml:space="preserve"> </w:instrText>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主管部门</w:t>
      </w:r>
      <w:r>
        <w:rPr>
          <w:rFonts w:hint="eastAsia" w:hAnsi="宋体"/>
          <w:sz w:val="28"/>
          <w:szCs w:val="28"/>
        </w:rPr>
        <w:t xml:space="preserve">     </w:t>
      </w:r>
      <w:r>
        <w:rPr>
          <w:rFonts w:hint="eastAsia" w:hAnsi="宋体"/>
          <w:spacing w:val="-20"/>
          <w:sz w:val="36"/>
          <w:u w:val="single"/>
        </w:rPr>
        <w:t>□</w:t>
      </w:r>
      <w:r>
        <w:rPr>
          <w:rFonts w:hint="eastAsia" w:hAnsi="宋体"/>
          <w:sz w:val="28"/>
          <w:szCs w:val="28"/>
          <w:u w:val="single"/>
        </w:rPr>
        <w:t>项目单位</w:t>
      </w:r>
    </w:p>
    <w:p>
      <w:pPr>
        <w:ind w:left="1400" w:hanging="1400" w:hangingChars="500"/>
        <w:rPr>
          <w:rFonts w:hAnsi="宋体"/>
          <w:sz w:val="28"/>
          <w:szCs w:val="28"/>
        </w:rPr>
      </w:pPr>
      <w:r>
        <w:rPr>
          <w:rFonts w:hint="eastAsia" w:hAnsi="宋体"/>
          <w:sz w:val="28"/>
          <w:szCs w:val="28"/>
        </w:rPr>
        <w:t xml:space="preserve">     评价机构：</w:t>
      </w:r>
      <w:r>
        <w:rPr>
          <w:rFonts w:hint="eastAsia" w:hAnsi="宋体"/>
          <w:spacing w:val="-20"/>
          <w:sz w:val="36"/>
          <w:u w:val="single"/>
        </w:rPr>
        <w:t>□</w:t>
      </w:r>
      <w:r>
        <w:rPr>
          <w:rFonts w:hint="eastAsia" w:hAnsi="宋体"/>
          <w:sz w:val="28"/>
          <w:szCs w:val="28"/>
          <w:u w:val="single"/>
        </w:rPr>
        <w:t xml:space="preserve">中介机构 </w:t>
      </w:r>
      <w:r>
        <w:rPr>
          <w:rFonts w:hint="eastAsia" w:hAnsi="宋体"/>
          <w:sz w:val="28"/>
          <w:szCs w:val="28"/>
        </w:rPr>
        <w:t xml:space="preserve">    </w:t>
      </w:r>
      <w:r>
        <w:rPr>
          <w:rFonts w:hint="eastAsia" w:hAnsi="宋体"/>
          <w:spacing w:val="-20"/>
          <w:sz w:val="36"/>
          <w:u w:val="single"/>
        </w:rPr>
        <w:t>□</w:t>
      </w:r>
      <w:r>
        <w:rPr>
          <w:rFonts w:hint="eastAsia" w:hAnsi="宋体"/>
          <w:sz w:val="28"/>
          <w:szCs w:val="28"/>
          <w:u w:val="single"/>
        </w:rPr>
        <w:t xml:space="preserve">专家组 </w:t>
      </w:r>
      <w:r>
        <w:rPr>
          <w:rFonts w:hint="eastAsia" w:hAnsi="宋体"/>
          <w:sz w:val="28"/>
          <w:szCs w:val="28"/>
        </w:rPr>
        <w:t xml:space="preserve">    </w:t>
      </w:r>
      <w:r>
        <w:rPr>
          <w:rFonts w:hAnsi="宋体"/>
          <w:spacing w:val="-20"/>
          <w:sz w:val="36"/>
          <w:u w:val="single"/>
        </w:rPr>
        <w:fldChar w:fldCharType="begin"/>
      </w:r>
      <w:r>
        <w:rPr>
          <w:rFonts w:hAnsi="宋体"/>
          <w:spacing w:val="-20"/>
          <w:sz w:val="36"/>
          <w:u w:val="single"/>
        </w:rPr>
        <w:instrText xml:space="preserve"> </w:instrText>
      </w:r>
      <w:r>
        <w:rPr>
          <w:rFonts w:hint="eastAsia" w:hAnsi="宋体"/>
          <w:spacing w:val="-20"/>
          <w:sz w:val="36"/>
          <w:u w:val="single"/>
        </w:rPr>
        <w:instrText xml:space="preserve">eq \o\ac(□,</w:instrText>
      </w:r>
      <w:r>
        <w:rPr>
          <w:rFonts w:hint="eastAsia" w:hAnsi="宋体"/>
          <w:position w:val="3"/>
          <w:sz w:val="23"/>
        </w:rPr>
        <w:instrText xml:space="preserve">√</w:instrText>
      </w:r>
      <w:r>
        <w:rPr>
          <w:rFonts w:hint="eastAsia" w:hAnsi="宋体"/>
          <w:spacing w:val="-20"/>
          <w:sz w:val="36"/>
          <w:u w:val="single"/>
        </w:rPr>
        <w:instrText xml:space="preserve">)</w:instrText>
      </w:r>
      <w:r>
        <w:rPr>
          <w:rFonts w:hAnsi="宋体"/>
          <w:spacing w:val="-20"/>
          <w:sz w:val="36"/>
          <w:u w:val="single"/>
        </w:rPr>
        <w:fldChar w:fldCharType="end"/>
      </w:r>
      <w:r>
        <w:rPr>
          <w:rFonts w:hint="eastAsia" w:hAnsi="宋体"/>
          <w:sz w:val="28"/>
          <w:szCs w:val="28"/>
          <w:u w:val="single"/>
        </w:rPr>
        <w:t>项目单位评价组</w:t>
      </w:r>
    </w:p>
    <w:p>
      <w:pPr>
        <w:rPr>
          <w:rFonts w:hAnsi="仿宋_GB2312"/>
          <w:szCs w:val="28"/>
        </w:rPr>
      </w:pPr>
    </w:p>
    <w:p>
      <w:pPr>
        <w:rPr>
          <w:rFonts w:hAnsi="仿宋_GB2312"/>
          <w:szCs w:val="28"/>
        </w:rPr>
      </w:pPr>
      <w:r>
        <w:rPr>
          <w:rFonts w:hint="eastAsia" w:hAnsi="仿宋_GB2312"/>
          <w:szCs w:val="28"/>
        </w:rPr>
        <w:t xml:space="preserve">        </w:t>
      </w:r>
    </w:p>
    <w:p>
      <w:pPr>
        <w:ind w:left="1600" w:hanging="1600" w:hangingChars="500"/>
        <w:rPr>
          <w:rFonts w:hAnsi="宋体"/>
          <w:szCs w:val="28"/>
        </w:rPr>
      </w:pPr>
      <w:r>
        <w:rPr>
          <w:rFonts w:hint="eastAsia" w:hAnsi="仿宋_GB2312"/>
          <w:szCs w:val="28"/>
        </w:rPr>
        <w:t xml:space="preserve">           </w:t>
      </w:r>
      <w:r>
        <w:rPr>
          <w:rFonts w:hint="eastAsia" w:hAnsi="宋体"/>
          <w:szCs w:val="28"/>
        </w:rPr>
        <w:t xml:space="preserve">  评价单位（盖章）：海南省地震局</w:t>
      </w:r>
    </w:p>
    <w:p>
      <w:pPr>
        <w:ind w:left="1600" w:hanging="1600" w:hangingChars="500"/>
        <w:rPr>
          <w:rFonts w:hAnsi="宋体"/>
          <w:szCs w:val="28"/>
        </w:rPr>
      </w:pPr>
      <w:r>
        <w:rPr>
          <w:rFonts w:hint="eastAsia" w:hAnsi="宋体"/>
          <w:szCs w:val="28"/>
        </w:rPr>
        <w:t xml:space="preserve">                 上报时间：2020年5月</w:t>
      </w:r>
    </w:p>
    <w:p>
      <w:pPr>
        <w:spacing w:line="440" w:lineRule="exact"/>
        <w:jc w:val="center"/>
        <w:rPr>
          <w:rFonts w:ascii="宋体" w:hAnsi="宋体" w:eastAsia="宋体"/>
          <w:b/>
          <w:sz w:val="44"/>
          <w:szCs w:val="44"/>
        </w:rPr>
      </w:pPr>
    </w:p>
    <w:p>
      <w:pPr>
        <w:spacing w:before="240" w:line="620" w:lineRule="exact"/>
        <w:jc w:val="center"/>
        <w:rPr>
          <w:rFonts w:ascii="宋体" w:hAnsi="宋体" w:eastAsia="宋体"/>
          <w:b/>
          <w:bCs/>
          <w:sz w:val="44"/>
          <w:szCs w:val="44"/>
        </w:rPr>
      </w:pPr>
    </w:p>
    <w:p>
      <w:pPr>
        <w:spacing w:before="240" w:line="620" w:lineRule="exact"/>
        <w:jc w:val="center"/>
        <w:rPr>
          <w:rFonts w:ascii="宋体" w:hAnsi="宋体" w:eastAsia="宋体"/>
          <w:b/>
          <w:bCs/>
          <w:sz w:val="44"/>
          <w:szCs w:val="44"/>
        </w:rPr>
      </w:pPr>
    </w:p>
    <w:p>
      <w:pPr>
        <w:spacing w:before="240" w:line="620" w:lineRule="exact"/>
        <w:jc w:val="center"/>
        <w:rPr>
          <w:rFonts w:ascii="宋体" w:hAnsi="宋体" w:eastAsia="宋体"/>
          <w:b/>
          <w:bCs/>
          <w:sz w:val="44"/>
          <w:szCs w:val="44"/>
        </w:rPr>
      </w:pPr>
      <w:r>
        <w:rPr>
          <w:rFonts w:hint="eastAsia" w:ascii="宋体" w:hAnsi="宋体" w:eastAsia="宋体"/>
          <w:b/>
          <w:bCs/>
          <w:sz w:val="44"/>
          <w:szCs w:val="44"/>
        </w:rPr>
        <w:t>项目绩效目标表</w:t>
      </w:r>
    </w:p>
    <w:p>
      <w:pPr>
        <w:tabs>
          <w:tab w:val="left" w:pos="720"/>
          <w:tab w:val="left" w:pos="3600"/>
        </w:tabs>
        <w:spacing w:line="360" w:lineRule="auto"/>
        <w:jc w:val="left"/>
        <w:rPr>
          <w:rFonts w:ascii="Times New Roman" w:hAnsi="仿宋_GB2312" w:eastAsia="宋体"/>
          <w:sz w:val="24"/>
          <w:szCs w:val="20"/>
        </w:rPr>
      </w:pPr>
      <w:r>
        <w:rPr>
          <w:rFonts w:hint="eastAsia" w:ascii="Times New Roman" w:hAnsi="仿宋_GB2312" w:eastAsia="宋体"/>
          <w:sz w:val="24"/>
          <w:szCs w:val="20"/>
        </w:rPr>
        <w:t>项目名称：防震</w:t>
      </w:r>
      <w:r>
        <w:rPr>
          <w:rFonts w:ascii="Times New Roman" w:hAnsi="仿宋_GB2312" w:eastAsia="宋体"/>
          <w:sz w:val="24"/>
          <w:szCs w:val="20"/>
        </w:rPr>
        <w:t>减灾规划及体系建设</w:t>
      </w:r>
    </w:p>
    <w:tbl>
      <w:tblPr>
        <w:tblStyle w:val="8"/>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2527"/>
        <w:gridCol w:w="1506"/>
        <w:gridCol w:w="850"/>
        <w:gridCol w:w="851"/>
        <w:gridCol w:w="850"/>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指标类型</w:t>
            </w:r>
          </w:p>
        </w:tc>
        <w:tc>
          <w:tcPr>
            <w:tcW w:w="2527" w:type="dxa"/>
            <w:vMerge w:val="restart"/>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绩效指标</w:t>
            </w:r>
          </w:p>
        </w:tc>
        <w:tc>
          <w:tcPr>
            <w:tcW w:w="1506" w:type="dxa"/>
            <w:vMerge w:val="restart"/>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绩效项目</w:t>
            </w:r>
          </w:p>
        </w:tc>
        <w:tc>
          <w:tcPr>
            <w:tcW w:w="3624" w:type="dxa"/>
            <w:gridSpan w:val="4"/>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97" w:type="dxa"/>
            <w:vMerge w:val="continue"/>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vMerge w:val="continue"/>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优</w:t>
            </w:r>
          </w:p>
        </w:tc>
        <w:tc>
          <w:tcPr>
            <w:tcW w:w="851"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良</w:t>
            </w:r>
          </w:p>
        </w:tc>
        <w:tc>
          <w:tcPr>
            <w:tcW w:w="850"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中</w:t>
            </w:r>
          </w:p>
        </w:tc>
        <w:tc>
          <w:tcPr>
            <w:tcW w:w="1073" w:type="dxa"/>
            <w:tcBorders>
              <w:top w:val="single" w:color="auto" w:sz="4" w:space="0"/>
              <w:left w:val="single" w:color="auto" w:sz="4" w:space="0"/>
              <w:bottom w:val="single" w:color="auto" w:sz="4" w:space="0"/>
              <w:right w:val="single" w:color="auto" w:sz="4" w:space="0"/>
            </w:tcBorders>
            <w:vAlign w:val="center"/>
          </w:tcPr>
          <w:p>
            <w:pPr>
              <w:ind w:left="-160" w:leftChars="-50" w:right="-160" w:rightChars="-50"/>
              <w:jc w:val="center"/>
              <w:rPr>
                <w:rFonts w:ascii="宋体" w:hAnsi="宋体" w:eastAsia="宋体"/>
                <w:sz w:val="24"/>
              </w:rPr>
            </w:pPr>
            <w:r>
              <w:rPr>
                <w:rFonts w:hint="eastAsia" w:ascii="宋体" w:hAnsi="宋体" w:eastAsia="宋体"/>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97" w:type="dxa"/>
            <w:vMerge w:val="restart"/>
            <w:tcBorders>
              <w:top w:val="single" w:color="auto" w:sz="4" w:space="0"/>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产出指标</w:t>
            </w: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指标1：到省内外开展防震减灾工作调研批次</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4批次以上</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4以上</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3-4</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2-3</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2以下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097" w:type="dxa"/>
            <w:vMerge w:val="continue"/>
            <w:tcBorders>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指标2：对全省进行防震减灾科普宣传人次</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达到10万人次以上</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10万以上</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8-10万</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5-7万</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5万以下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097" w:type="dxa"/>
            <w:vMerge w:val="continue"/>
            <w:tcBorders>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rPr>
                <w:rFonts w:ascii="宋体" w:hAnsi="宋体" w:eastAsia="宋体"/>
                <w:sz w:val="21"/>
                <w:szCs w:val="21"/>
              </w:rPr>
            </w:pPr>
            <w:r>
              <w:rPr>
                <w:rFonts w:hint="eastAsia" w:ascii="宋体" w:hAnsi="宋体" w:eastAsia="宋体"/>
                <w:sz w:val="21"/>
                <w:szCs w:val="21"/>
              </w:rPr>
              <w:t>指标3：维护群测群防网</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765个</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700个以上</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650-700个</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600-650个</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550-600个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97" w:type="dxa"/>
            <w:vMerge w:val="restart"/>
            <w:tcBorders>
              <w:top w:val="single" w:color="auto" w:sz="4" w:space="0"/>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成效指标</w:t>
            </w:r>
          </w:p>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指标1：各市县防震减灾宣传普及人数</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每个市县普及人数至少5千人以上</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5千以上</w:t>
            </w:r>
          </w:p>
        </w:tc>
        <w:tc>
          <w:tcPr>
            <w:tcW w:w="851"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3-4千</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2-3千</w:t>
            </w:r>
          </w:p>
        </w:tc>
        <w:tc>
          <w:tcPr>
            <w:tcW w:w="1073"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2千以下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097" w:type="dxa"/>
            <w:vMerge w:val="continue"/>
            <w:tcBorders>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指标2：每批调研人数不能太多</w:t>
            </w:r>
            <w:r>
              <w:rPr>
                <w:rFonts w:hint="eastAsia" w:ascii="宋体" w:hAnsi="宋体" w:eastAsia="宋体"/>
                <w:sz w:val="21"/>
                <w:szCs w:val="21"/>
              </w:rPr>
              <w:tab/>
            </w:r>
            <w:r>
              <w:rPr>
                <w:rFonts w:hint="eastAsia" w:ascii="宋体" w:hAnsi="宋体" w:eastAsia="宋体"/>
                <w:sz w:val="21"/>
                <w:szCs w:val="21"/>
              </w:rPr>
              <w:tab/>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每批调研人数不超过4人</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 xml:space="preserve"> 2人</w:t>
            </w:r>
          </w:p>
        </w:tc>
        <w:tc>
          <w:tcPr>
            <w:tcW w:w="851"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3人</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3-4人</w:t>
            </w:r>
          </w:p>
        </w:tc>
        <w:tc>
          <w:tcPr>
            <w:tcW w:w="1073"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 xml:space="preserve"> 4人以下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097" w:type="dxa"/>
            <w:vMerge w:val="continue"/>
            <w:tcBorders>
              <w:left w:val="single" w:color="auto" w:sz="4" w:space="0"/>
              <w:right w:val="single" w:color="auto" w:sz="4" w:space="0"/>
            </w:tcBorders>
            <w:vAlign w:val="center"/>
          </w:tcPr>
          <w:p>
            <w:pPr>
              <w:ind w:left="-96" w:leftChars="-30" w:right="-96" w:rightChars="-30"/>
              <w:jc w:val="center"/>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指标3：全省社会公众防震减灾意识和自救互救能力普遍提高</w:t>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通过宣传，公众防震减灾意识普遍提高</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普遍提高</w:t>
            </w:r>
          </w:p>
        </w:tc>
        <w:tc>
          <w:tcPr>
            <w:tcW w:w="851"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较普遍提高</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一般提高</w:t>
            </w:r>
          </w:p>
        </w:tc>
        <w:tc>
          <w:tcPr>
            <w:tcW w:w="1073"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不提高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097" w:type="dxa"/>
            <w:vMerge w:val="continue"/>
            <w:tcBorders>
              <w:left w:val="single" w:color="auto" w:sz="4" w:space="0"/>
              <w:right w:val="single" w:color="auto" w:sz="4" w:space="0"/>
            </w:tcBorders>
            <w:vAlign w:val="center"/>
          </w:tcPr>
          <w:p>
            <w:pPr>
              <w:widowControl/>
              <w:jc w:val="left"/>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指标4：提高我省防震减灾工作</w:t>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通过调研，促进我省防震减灾工作发展提升</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明显</w:t>
            </w:r>
          </w:p>
        </w:tc>
        <w:tc>
          <w:tcPr>
            <w:tcW w:w="851"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较明显</w:t>
            </w:r>
          </w:p>
        </w:tc>
        <w:tc>
          <w:tcPr>
            <w:tcW w:w="850"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一般</w:t>
            </w:r>
          </w:p>
        </w:tc>
        <w:tc>
          <w:tcPr>
            <w:tcW w:w="1073" w:type="dxa"/>
            <w:tcBorders>
              <w:top w:val="single" w:color="auto" w:sz="4" w:space="0"/>
              <w:left w:val="single" w:color="auto" w:sz="4" w:space="0"/>
              <w:bottom w:val="single" w:color="auto" w:sz="4" w:space="0"/>
              <w:right w:val="single" w:color="auto" w:sz="4" w:space="0"/>
            </w:tcBorders>
          </w:tcPr>
          <w:p>
            <w:pPr>
              <w:ind w:left="-96" w:leftChars="-30" w:right="-96" w:rightChars="-30"/>
              <w:jc w:val="center"/>
              <w:rPr>
                <w:rFonts w:ascii="宋体" w:hAnsi="宋体" w:eastAsia="宋体"/>
                <w:sz w:val="21"/>
                <w:szCs w:val="21"/>
              </w:rPr>
            </w:pPr>
          </w:p>
          <w:p>
            <w:pPr>
              <w:ind w:left="-96" w:leftChars="-30" w:right="-96" w:rightChars="-30"/>
              <w:jc w:val="center"/>
              <w:rPr>
                <w:rFonts w:ascii="宋体" w:hAnsi="宋体" w:eastAsia="宋体"/>
                <w:sz w:val="21"/>
                <w:szCs w:val="21"/>
              </w:rPr>
            </w:pPr>
            <w:r>
              <w:rPr>
                <w:rFonts w:hint="eastAsia" w:ascii="宋体" w:hAnsi="宋体" w:eastAsia="宋体"/>
                <w:sz w:val="21"/>
                <w:szCs w:val="21"/>
              </w:rPr>
              <w:t>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097" w:type="dxa"/>
            <w:vMerge w:val="continue"/>
            <w:tcBorders>
              <w:left w:val="single" w:color="auto" w:sz="4" w:space="0"/>
              <w:right w:val="single" w:color="auto" w:sz="4" w:space="0"/>
            </w:tcBorders>
            <w:vAlign w:val="center"/>
          </w:tcPr>
          <w:p>
            <w:pPr>
              <w:widowControl/>
              <w:jc w:val="left"/>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指标5：网络正常运转天数</w:t>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365天</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350天以上</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330-350天</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310-330天</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310天以下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9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sz w:val="21"/>
                <w:szCs w:val="21"/>
              </w:rPr>
            </w:pPr>
          </w:p>
        </w:tc>
        <w:tc>
          <w:tcPr>
            <w:tcW w:w="2527"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指标6：宣传效果满意度（问卷调查）</w:t>
            </w:r>
          </w:p>
        </w:tc>
        <w:tc>
          <w:tcPr>
            <w:tcW w:w="1506"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95%以上</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90%</w:t>
            </w:r>
          </w:p>
        </w:tc>
        <w:tc>
          <w:tcPr>
            <w:tcW w:w="851"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80-90%</w:t>
            </w:r>
          </w:p>
        </w:tc>
        <w:tc>
          <w:tcPr>
            <w:tcW w:w="850"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70-80%</w:t>
            </w:r>
          </w:p>
        </w:tc>
        <w:tc>
          <w:tcPr>
            <w:tcW w:w="1073" w:type="dxa"/>
            <w:tcBorders>
              <w:top w:val="single" w:color="auto" w:sz="4" w:space="0"/>
              <w:left w:val="single" w:color="auto" w:sz="4" w:space="0"/>
              <w:bottom w:val="single" w:color="auto" w:sz="4" w:space="0"/>
              <w:right w:val="single" w:color="auto" w:sz="4" w:space="0"/>
            </w:tcBorders>
            <w:vAlign w:val="center"/>
          </w:tcPr>
          <w:p>
            <w:pPr>
              <w:ind w:left="-96" w:leftChars="-30" w:right="-96" w:rightChars="-30"/>
              <w:jc w:val="center"/>
              <w:rPr>
                <w:rFonts w:ascii="宋体" w:hAnsi="宋体" w:eastAsia="宋体"/>
                <w:sz w:val="21"/>
                <w:szCs w:val="21"/>
              </w:rPr>
            </w:pPr>
            <w:r>
              <w:rPr>
                <w:rFonts w:hint="eastAsia" w:ascii="宋体" w:hAnsi="宋体" w:eastAsia="宋体"/>
                <w:sz w:val="21"/>
                <w:szCs w:val="21"/>
              </w:rPr>
              <w:t>70%以下</w:t>
            </w:r>
          </w:p>
        </w:tc>
      </w:tr>
    </w:tbl>
    <w:p>
      <w:pPr>
        <w:tabs>
          <w:tab w:val="left" w:pos="720"/>
          <w:tab w:val="left" w:pos="3600"/>
        </w:tabs>
        <w:spacing w:line="360" w:lineRule="auto"/>
        <w:jc w:val="left"/>
        <w:rPr>
          <w:rFonts w:ascii="Times New Roman" w:hAnsi="仿宋_GB2312" w:eastAsia="宋体"/>
          <w:sz w:val="24"/>
          <w:szCs w:val="20"/>
        </w:rPr>
      </w:pPr>
    </w:p>
    <w:p>
      <w:pPr>
        <w:tabs>
          <w:tab w:val="left" w:pos="720"/>
          <w:tab w:val="left" w:pos="3600"/>
        </w:tabs>
        <w:spacing w:line="360" w:lineRule="auto"/>
        <w:jc w:val="left"/>
        <w:rPr>
          <w:rFonts w:ascii="Times New Roman" w:hAnsi="仿宋_GB2312" w:eastAsia="宋体"/>
          <w:sz w:val="24"/>
          <w:szCs w:val="20"/>
        </w:rPr>
      </w:pPr>
    </w:p>
    <w:p>
      <w:pPr>
        <w:spacing w:line="620" w:lineRule="exact"/>
        <w:jc w:val="left"/>
        <w:rPr>
          <w:rFonts w:ascii="宋体" w:hAnsi="宋体" w:eastAsia="宋体"/>
          <w:b/>
          <w:sz w:val="44"/>
          <w:szCs w:val="44"/>
        </w:rPr>
      </w:pPr>
      <w:r>
        <w:rPr>
          <w:rFonts w:hint="eastAsia" w:hAnsi="仿宋_GB2312"/>
          <w:sz w:val="24"/>
        </w:rPr>
        <w:t>注：以预算</w:t>
      </w:r>
      <w:r>
        <w:rPr>
          <w:rFonts w:hAnsi="仿宋_GB2312"/>
          <w:sz w:val="24"/>
        </w:rPr>
        <w:t>批复的绩效目标为准填列</w:t>
      </w:r>
      <w:r>
        <w:rPr>
          <w:rFonts w:hint="eastAsia" w:hAnsi="仿宋_GB2312"/>
          <w:sz w:val="24"/>
        </w:rPr>
        <w:t>。</w:t>
      </w:r>
    </w:p>
    <w:p>
      <w:pPr>
        <w:spacing w:line="440" w:lineRule="exact"/>
        <w:rPr>
          <w:rFonts w:ascii="宋体" w:hAnsi="宋体" w:eastAsia="宋体"/>
          <w:b/>
          <w:sz w:val="44"/>
          <w:szCs w:val="44"/>
        </w:rPr>
      </w:pPr>
    </w:p>
    <w:p>
      <w:pPr>
        <w:spacing w:line="440" w:lineRule="exact"/>
        <w:jc w:val="center"/>
        <w:rPr>
          <w:rFonts w:ascii="宋体" w:hAnsi="宋体" w:eastAsia="宋体"/>
          <w:b/>
          <w:sz w:val="44"/>
          <w:szCs w:val="44"/>
        </w:rPr>
      </w:pPr>
      <w:r>
        <w:rPr>
          <w:rFonts w:hint="eastAsia" w:ascii="宋体" w:hAnsi="宋体" w:eastAsia="宋体"/>
          <w:b/>
          <w:sz w:val="44"/>
          <w:szCs w:val="44"/>
        </w:rPr>
        <w:t>项目基本信息</w:t>
      </w:r>
    </w:p>
    <w:p>
      <w:pPr>
        <w:spacing w:line="440" w:lineRule="exact"/>
        <w:jc w:val="center"/>
        <w:rPr>
          <w:rFonts w:ascii="宋体" w:hAnsi="宋体" w:eastAsia="宋体"/>
          <w:b/>
          <w:sz w:val="44"/>
          <w:szCs w:val="44"/>
        </w:rPr>
      </w:pPr>
    </w:p>
    <w:tbl>
      <w:tblPr>
        <w:tblStyle w:val="8"/>
        <w:tblW w:w="8789"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1315"/>
        <w:gridCol w:w="244"/>
        <w:gridCol w:w="273"/>
        <w:gridCol w:w="481"/>
        <w:gridCol w:w="505"/>
        <w:gridCol w:w="420"/>
        <w:gridCol w:w="510"/>
        <w:gridCol w:w="890"/>
        <w:gridCol w:w="122"/>
        <w:gridCol w:w="1000"/>
        <w:gridCol w:w="283"/>
        <w:gridCol w:w="517"/>
        <w:gridCol w:w="435"/>
        <w:gridCol w:w="412"/>
        <w:gridCol w:w="39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552" w:hRule="atLeast"/>
        </w:trPr>
        <w:tc>
          <w:tcPr>
            <w:tcW w:w="8789" w:type="dxa"/>
            <w:gridSpan w:val="16"/>
            <w:vAlign w:val="center"/>
          </w:tcPr>
          <w:p>
            <w:pPr>
              <w:spacing w:line="440" w:lineRule="exact"/>
              <w:rPr>
                <w:rFonts w:ascii="宋体" w:hAnsi="宋体" w:eastAsia="宋体"/>
                <w:sz w:val="24"/>
              </w:rPr>
            </w:pPr>
            <w:r>
              <w:rPr>
                <w:rFonts w:hint="eastAsia" w:ascii="宋体" w:hAnsi="宋体" w:eastAsia="宋体"/>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项目实施单位</w:t>
            </w:r>
          </w:p>
        </w:tc>
        <w:tc>
          <w:tcPr>
            <w:tcW w:w="1916" w:type="dxa"/>
            <w:gridSpan w:val="4"/>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3247" w:type="dxa"/>
            <w:gridSpan w:val="6"/>
            <w:vAlign w:val="center"/>
          </w:tcPr>
          <w:p>
            <w:pPr>
              <w:spacing w:line="440" w:lineRule="exact"/>
              <w:jc w:val="center"/>
              <w:rPr>
                <w:rFonts w:ascii="宋体" w:hAnsi="宋体" w:eastAsia="宋体"/>
                <w:sz w:val="24"/>
              </w:rPr>
            </w:pPr>
            <w:r>
              <w:rPr>
                <w:rFonts w:hint="eastAsia" w:ascii="宋体" w:hAnsi="宋体" w:eastAsia="宋体"/>
                <w:sz w:val="24"/>
              </w:rPr>
              <w:t>主管部门</w:t>
            </w:r>
          </w:p>
        </w:tc>
        <w:tc>
          <w:tcPr>
            <w:tcW w:w="1794" w:type="dxa"/>
            <w:gridSpan w:val="3"/>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项目负责人</w:t>
            </w:r>
          </w:p>
        </w:tc>
        <w:tc>
          <w:tcPr>
            <w:tcW w:w="1916" w:type="dxa"/>
            <w:gridSpan w:val="4"/>
            <w:vAlign w:val="center"/>
          </w:tcPr>
          <w:p>
            <w:pPr>
              <w:spacing w:line="440" w:lineRule="exact"/>
              <w:jc w:val="center"/>
              <w:rPr>
                <w:rFonts w:ascii="宋体" w:hAnsi="宋体" w:eastAsia="宋体"/>
                <w:sz w:val="24"/>
              </w:rPr>
            </w:pPr>
            <w:r>
              <w:rPr>
                <w:rFonts w:hint="eastAsia" w:ascii="宋体" w:hAnsi="宋体" w:eastAsia="宋体"/>
                <w:sz w:val="24"/>
              </w:rPr>
              <w:t>胡金文</w:t>
            </w:r>
          </w:p>
        </w:tc>
        <w:tc>
          <w:tcPr>
            <w:tcW w:w="3247" w:type="dxa"/>
            <w:gridSpan w:val="6"/>
            <w:vAlign w:val="center"/>
          </w:tcPr>
          <w:p>
            <w:pPr>
              <w:spacing w:line="440" w:lineRule="exact"/>
              <w:jc w:val="center"/>
              <w:rPr>
                <w:rFonts w:ascii="宋体" w:hAnsi="宋体" w:eastAsia="宋体"/>
                <w:sz w:val="24"/>
              </w:rPr>
            </w:pPr>
            <w:r>
              <w:rPr>
                <w:rFonts w:hint="eastAsia" w:ascii="宋体" w:hAnsi="宋体" w:eastAsia="宋体"/>
                <w:sz w:val="24"/>
              </w:rPr>
              <w:t>联系电话</w:t>
            </w:r>
          </w:p>
        </w:tc>
        <w:tc>
          <w:tcPr>
            <w:tcW w:w="1794" w:type="dxa"/>
            <w:gridSpan w:val="3"/>
            <w:vAlign w:val="center"/>
          </w:tcPr>
          <w:p>
            <w:pPr>
              <w:spacing w:line="440" w:lineRule="exact"/>
              <w:jc w:val="center"/>
              <w:rPr>
                <w:rFonts w:ascii="宋体" w:hAnsi="宋体" w:eastAsia="宋体"/>
                <w:sz w:val="24"/>
              </w:rPr>
            </w:pPr>
            <w:r>
              <w:rPr>
                <w:rFonts w:hint="eastAsia" w:ascii="宋体" w:hAnsi="宋体" w:eastAsia="宋体"/>
                <w:sz w:val="24"/>
              </w:rPr>
              <w:t>65369236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地址</w:t>
            </w:r>
          </w:p>
        </w:tc>
        <w:tc>
          <w:tcPr>
            <w:tcW w:w="5163" w:type="dxa"/>
            <w:gridSpan w:val="10"/>
            <w:vAlign w:val="center"/>
          </w:tcPr>
          <w:p>
            <w:pPr>
              <w:spacing w:line="440" w:lineRule="exact"/>
              <w:jc w:val="center"/>
              <w:rPr>
                <w:rFonts w:ascii="宋体" w:hAnsi="宋体" w:eastAsia="宋体"/>
                <w:sz w:val="24"/>
              </w:rPr>
            </w:pPr>
            <w:r>
              <w:rPr>
                <w:rFonts w:hint="eastAsia" w:ascii="宋体" w:hAnsi="宋体" w:eastAsia="宋体"/>
                <w:sz w:val="24"/>
              </w:rPr>
              <w:t>海口市美苑路49号</w:t>
            </w:r>
          </w:p>
        </w:tc>
        <w:tc>
          <w:tcPr>
            <w:tcW w:w="802" w:type="dxa"/>
            <w:gridSpan w:val="2"/>
            <w:vAlign w:val="center"/>
          </w:tcPr>
          <w:p>
            <w:pPr>
              <w:spacing w:line="440" w:lineRule="exact"/>
              <w:jc w:val="center"/>
              <w:rPr>
                <w:rFonts w:ascii="宋体" w:hAnsi="宋体" w:eastAsia="宋体"/>
                <w:sz w:val="24"/>
              </w:rPr>
            </w:pPr>
            <w:r>
              <w:rPr>
                <w:rFonts w:hint="eastAsia" w:ascii="宋体" w:hAnsi="宋体" w:eastAsia="宋体"/>
                <w:sz w:val="24"/>
              </w:rPr>
              <w:t>邮编</w:t>
            </w:r>
          </w:p>
        </w:tc>
        <w:tc>
          <w:tcPr>
            <w:tcW w:w="992" w:type="dxa"/>
            <w:vAlign w:val="center"/>
          </w:tcPr>
          <w:p>
            <w:pPr>
              <w:spacing w:line="440" w:lineRule="exact"/>
              <w:jc w:val="center"/>
              <w:rPr>
                <w:rFonts w:ascii="宋体" w:hAnsi="宋体" w:eastAsia="宋体"/>
                <w:sz w:val="24"/>
              </w:rPr>
            </w:pPr>
            <w:r>
              <w:rPr>
                <w:rFonts w:hint="eastAsia" w:ascii="宋体" w:hAnsi="宋体" w:eastAsia="宋体"/>
                <w:sz w:val="24"/>
              </w:rPr>
              <w:t>570203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项目类型</w:t>
            </w:r>
          </w:p>
        </w:tc>
        <w:tc>
          <w:tcPr>
            <w:tcW w:w="6957" w:type="dxa"/>
            <w:gridSpan w:val="13"/>
            <w:vAlign w:val="center"/>
          </w:tcPr>
          <w:p>
            <w:pPr>
              <w:jc w:val="center"/>
              <w:rPr>
                <w:rFonts w:ascii="宋体" w:hAnsi="宋体" w:eastAsia="宋体"/>
                <w:sz w:val="24"/>
              </w:rPr>
            </w:pPr>
            <w:r>
              <w:rPr>
                <w:rFonts w:hint="eastAsia" w:ascii="宋体" w:hAnsi="宋体" w:eastAsia="宋体"/>
                <w:sz w:val="24"/>
              </w:rPr>
              <w:t>经常性项目（  √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计划投资额</w:t>
            </w:r>
          </w:p>
          <w:p>
            <w:pPr>
              <w:spacing w:line="440" w:lineRule="exact"/>
              <w:jc w:val="center"/>
              <w:rPr>
                <w:rFonts w:ascii="宋体" w:hAnsi="宋体" w:eastAsia="宋体"/>
                <w:sz w:val="24"/>
              </w:rPr>
            </w:pPr>
            <w:r>
              <w:rPr>
                <w:rFonts w:hint="eastAsia" w:ascii="宋体" w:hAnsi="宋体" w:eastAsia="宋体"/>
                <w:sz w:val="24"/>
              </w:rPr>
              <w:t>（万元）</w:t>
            </w:r>
          </w:p>
        </w:tc>
        <w:tc>
          <w:tcPr>
            <w:tcW w:w="986" w:type="dxa"/>
            <w:gridSpan w:val="2"/>
            <w:vAlign w:val="center"/>
          </w:tcPr>
          <w:p>
            <w:pPr>
              <w:spacing w:line="440" w:lineRule="exact"/>
              <w:jc w:val="center"/>
              <w:rPr>
                <w:rFonts w:ascii="宋体" w:hAnsi="宋体" w:eastAsia="宋体"/>
                <w:sz w:val="24"/>
              </w:rPr>
            </w:pPr>
            <w:r>
              <w:rPr>
                <w:rFonts w:hint="eastAsia" w:ascii="宋体" w:hAnsi="宋体"/>
                <w:sz w:val="24"/>
              </w:rPr>
              <w:t>81.46</w:t>
            </w: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实际到位资金（万元）</w:t>
            </w:r>
          </w:p>
        </w:tc>
        <w:tc>
          <w:tcPr>
            <w:tcW w:w="1000" w:type="dxa"/>
            <w:vAlign w:val="center"/>
          </w:tcPr>
          <w:p>
            <w:pPr>
              <w:spacing w:line="440" w:lineRule="exact"/>
              <w:jc w:val="center"/>
              <w:rPr>
                <w:rFonts w:ascii="宋体" w:hAnsi="宋体" w:eastAsia="宋体"/>
                <w:sz w:val="24"/>
              </w:rPr>
            </w:pPr>
            <w:r>
              <w:rPr>
                <w:rFonts w:hint="eastAsia" w:ascii="宋体" w:hAnsi="宋体"/>
                <w:sz w:val="24"/>
              </w:rPr>
              <w:t>81.46</w:t>
            </w:r>
          </w:p>
        </w:tc>
        <w:tc>
          <w:tcPr>
            <w:tcW w:w="1647" w:type="dxa"/>
            <w:gridSpan w:val="4"/>
            <w:vAlign w:val="center"/>
          </w:tcPr>
          <w:p>
            <w:pPr>
              <w:spacing w:line="440" w:lineRule="exact"/>
              <w:jc w:val="center"/>
              <w:rPr>
                <w:rFonts w:ascii="宋体" w:hAnsi="宋体" w:eastAsia="宋体"/>
                <w:sz w:val="24"/>
              </w:rPr>
            </w:pPr>
            <w:r>
              <w:rPr>
                <w:rFonts w:hint="eastAsia" w:ascii="宋体" w:hAnsi="宋体" w:eastAsia="宋体"/>
                <w:sz w:val="24"/>
              </w:rPr>
              <w:t>实际使用情况（万元）</w:t>
            </w:r>
          </w:p>
        </w:tc>
        <w:tc>
          <w:tcPr>
            <w:tcW w:w="1382" w:type="dxa"/>
            <w:gridSpan w:val="2"/>
            <w:vAlign w:val="center"/>
          </w:tcPr>
          <w:p>
            <w:pPr>
              <w:spacing w:line="440" w:lineRule="exact"/>
              <w:jc w:val="center"/>
              <w:rPr>
                <w:rFonts w:ascii="宋体" w:hAnsi="宋体" w:eastAsia="宋体"/>
                <w:sz w:val="24"/>
              </w:rPr>
            </w:pPr>
            <w:r>
              <w:rPr>
                <w:rFonts w:hint="eastAsia" w:ascii="宋体" w:hAnsi="宋体"/>
                <w:sz w:val="24"/>
              </w:rPr>
              <w:t>81.46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其中：中央财政</w:t>
            </w:r>
          </w:p>
        </w:tc>
        <w:tc>
          <w:tcPr>
            <w:tcW w:w="986" w:type="dxa"/>
            <w:gridSpan w:val="2"/>
            <w:vAlign w:val="center"/>
          </w:tcPr>
          <w:p>
            <w:pPr>
              <w:spacing w:line="440" w:lineRule="exact"/>
              <w:jc w:val="center"/>
              <w:rPr>
                <w:rFonts w:ascii="宋体" w:hAnsi="宋体" w:eastAsia="宋体"/>
                <w:color w:val="7030A0"/>
                <w:sz w:val="24"/>
              </w:rPr>
            </w:pP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其中：中央财政</w:t>
            </w:r>
          </w:p>
        </w:tc>
        <w:tc>
          <w:tcPr>
            <w:tcW w:w="1000" w:type="dxa"/>
            <w:vAlign w:val="center"/>
          </w:tcPr>
          <w:p>
            <w:pPr>
              <w:spacing w:line="440" w:lineRule="exact"/>
              <w:jc w:val="center"/>
              <w:rPr>
                <w:rFonts w:ascii="宋体" w:hAnsi="宋体" w:eastAsia="宋体"/>
                <w:sz w:val="24"/>
              </w:rPr>
            </w:pP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省财政</w:t>
            </w:r>
          </w:p>
        </w:tc>
        <w:tc>
          <w:tcPr>
            <w:tcW w:w="986" w:type="dxa"/>
            <w:gridSpan w:val="2"/>
            <w:vAlign w:val="center"/>
          </w:tcPr>
          <w:p>
            <w:pPr>
              <w:spacing w:line="440" w:lineRule="exact"/>
              <w:jc w:val="center"/>
              <w:rPr>
                <w:rFonts w:ascii="宋体" w:hAnsi="宋体" w:eastAsia="宋体"/>
                <w:sz w:val="24"/>
              </w:rPr>
            </w:pPr>
            <w:r>
              <w:rPr>
                <w:rFonts w:hint="eastAsia" w:ascii="宋体" w:hAnsi="宋体"/>
                <w:sz w:val="24"/>
              </w:rPr>
              <w:t>81.46</w:t>
            </w: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省财政</w:t>
            </w:r>
          </w:p>
        </w:tc>
        <w:tc>
          <w:tcPr>
            <w:tcW w:w="1000" w:type="dxa"/>
            <w:vAlign w:val="center"/>
          </w:tcPr>
          <w:p>
            <w:pPr>
              <w:spacing w:line="440" w:lineRule="exact"/>
              <w:jc w:val="center"/>
              <w:rPr>
                <w:rFonts w:ascii="宋体" w:hAnsi="宋体" w:eastAsia="宋体"/>
                <w:sz w:val="24"/>
              </w:rPr>
            </w:pPr>
            <w:r>
              <w:rPr>
                <w:rFonts w:hint="eastAsia" w:ascii="宋体" w:hAnsi="宋体"/>
                <w:sz w:val="24"/>
              </w:rPr>
              <w:t>81.46</w:t>
            </w: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市县财政</w:t>
            </w:r>
          </w:p>
        </w:tc>
        <w:tc>
          <w:tcPr>
            <w:tcW w:w="986" w:type="dxa"/>
            <w:gridSpan w:val="2"/>
            <w:vAlign w:val="center"/>
          </w:tcPr>
          <w:p>
            <w:pPr>
              <w:spacing w:line="440" w:lineRule="exact"/>
              <w:jc w:val="center"/>
              <w:rPr>
                <w:rFonts w:ascii="宋体" w:hAnsi="宋体" w:eastAsia="宋体"/>
                <w:sz w:val="24"/>
              </w:rPr>
            </w:pP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市县财政</w:t>
            </w:r>
          </w:p>
        </w:tc>
        <w:tc>
          <w:tcPr>
            <w:tcW w:w="1000" w:type="dxa"/>
            <w:vAlign w:val="center"/>
          </w:tcPr>
          <w:p>
            <w:pPr>
              <w:spacing w:line="440" w:lineRule="exact"/>
              <w:jc w:val="center"/>
              <w:rPr>
                <w:rFonts w:ascii="宋体" w:hAnsi="宋体" w:eastAsia="宋体"/>
                <w:sz w:val="24"/>
              </w:rPr>
            </w:pP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1832" w:type="dxa"/>
            <w:gridSpan w:val="3"/>
            <w:vAlign w:val="center"/>
          </w:tcPr>
          <w:p>
            <w:pPr>
              <w:spacing w:line="440" w:lineRule="exact"/>
              <w:jc w:val="center"/>
              <w:rPr>
                <w:rFonts w:ascii="宋体" w:hAnsi="宋体" w:eastAsia="宋体"/>
                <w:sz w:val="24"/>
              </w:rPr>
            </w:pPr>
            <w:r>
              <w:rPr>
                <w:rFonts w:hint="eastAsia" w:ascii="宋体" w:hAnsi="宋体" w:eastAsia="宋体"/>
                <w:sz w:val="24"/>
              </w:rPr>
              <w:t>其他</w:t>
            </w:r>
          </w:p>
        </w:tc>
        <w:tc>
          <w:tcPr>
            <w:tcW w:w="986" w:type="dxa"/>
            <w:gridSpan w:val="2"/>
            <w:vAlign w:val="center"/>
          </w:tcPr>
          <w:p>
            <w:pPr>
              <w:spacing w:line="440" w:lineRule="exact"/>
              <w:jc w:val="center"/>
              <w:rPr>
                <w:rFonts w:ascii="宋体" w:hAnsi="宋体" w:eastAsia="宋体"/>
                <w:sz w:val="24"/>
              </w:rPr>
            </w:pPr>
          </w:p>
        </w:tc>
        <w:tc>
          <w:tcPr>
            <w:tcW w:w="1942" w:type="dxa"/>
            <w:gridSpan w:val="4"/>
            <w:vAlign w:val="center"/>
          </w:tcPr>
          <w:p>
            <w:pPr>
              <w:spacing w:line="440" w:lineRule="exact"/>
              <w:jc w:val="center"/>
              <w:rPr>
                <w:rFonts w:ascii="宋体" w:hAnsi="宋体" w:eastAsia="宋体"/>
                <w:sz w:val="24"/>
              </w:rPr>
            </w:pPr>
            <w:r>
              <w:rPr>
                <w:rFonts w:hint="eastAsia" w:ascii="宋体" w:hAnsi="宋体" w:eastAsia="宋体"/>
                <w:sz w:val="24"/>
              </w:rPr>
              <w:t>其他</w:t>
            </w:r>
          </w:p>
        </w:tc>
        <w:tc>
          <w:tcPr>
            <w:tcW w:w="1000" w:type="dxa"/>
            <w:vAlign w:val="center"/>
          </w:tcPr>
          <w:p>
            <w:pPr>
              <w:spacing w:line="440" w:lineRule="exact"/>
              <w:jc w:val="center"/>
              <w:rPr>
                <w:rFonts w:ascii="宋体" w:hAnsi="宋体" w:eastAsia="宋体"/>
                <w:sz w:val="24"/>
              </w:rPr>
            </w:pPr>
          </w:p>
        </w:tc>
        <w:tc>
          <w:tcPr>
            <w:tcW w:w="1647" w:type="dxa"/>
            <w:gridSpan w:val="4"/>
            <w:vAlign w:val="center"/>
          </w:tcPr>
          <w:p>
            <w:pPr>
              <w:spacing w:line="440" w:lineRule="exact"/>
              <w:jc w:val="center"/>
              <w:rPr>
                <w:rFonts w:ascii="宋体" w:hAnsi="宋体" w:eastAsia="宋体"/>
                <w:sz w:val="24"/>
              </w:rPr>
            </w:pPr>
          </w:p>
        </w:tc>
        <w:tc>
          <w:tcPr>
            <w:tcW w:w="1382" w:type="dxa"/>
            <w:gridSpan w:val="2"/>
            <w:vAlign w:val="center"/>
          </w:tcPr>
          <w:p>
            <w:pPr>
              <w:spacing w:line="44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84" w:hRule="atLeast"/>
        </w:trPr>
        <w:tc>
          <w:tcPr>
            <w:tcW w:w="8789" w:type="dxa"/>
            <w:gridSpan w:val="16"/>
            <w:vAlign w:val="center"/>
          </w:tcPr>
          <w:p>
            <w:pPr>
              <w:spacing w:line="440" w:lineRule="exact"/>
              <w:rPr>
                <w:rFonts w:ascii="宋体" w:hAnsi="宋体" w:eastAsia="宋体"/>
                <w:sz w:val="24"/>
              </w:rPr>
            </w:pPr>
            <w:r>
              <w:rPr>
                <w:rFonts w:hint="eastAsia" w:ascii="宋体" w:hAnsi="宋体" w:eastAsia="宋体"/>
                <w:b/>
                <w:bCs/>
                <w:sz w:val="24"/>
              </w:rPr>
              <w:t>二、</w:t>
            </w:r>
            <w:r>
              <w:rPr>
                <w:rFonts w:hint="eastAsia" w:ascii="宋体" w:hAnsi="宋体" w:eastAsia="宋体"/>
                <w:b/>
                <w:color w:val="000000"/>
                <w:sz w:val="24"/>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一级指标</w:t>
            </w:r>
          </w:p>
        </w:tc>
        <w:tc>
          <w:tcPr>
            <w:tcW w:w="998" w:type="dxa"/>
            <w:gridSpan w:val="3"/>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二级指标</w:t>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三级指标</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分值</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项目决策</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项目目标</w:t>
            </w:r>
            <w:r>
              <w:rPr>
                <w:rFonts w:hint="eastAsia" w:ascii="宋体" w:hAnsi="宋体" w:eastAsia="宋体"/>
                <w:sz w:val="24"/>
              </w:rPr>
              <w:drawing>
                <wp:inline distT="0" distB="0" distL="0" distR="0">
                  <wp:extent cx="19050" cy="1905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目标内容</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决策过程</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决策依据</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决策程序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ascii="宋体" w:hAnsi="宋体" w:eastAsia="宋体"/>
                <w:color w:val="00000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资金分配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分配办法</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分配结果</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项目管理</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资金到位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到位率</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到位时效</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资金管理</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资金使用</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财务管理</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组织实施</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组织机构</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管理制度</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9</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项目绩效</w:t>
            </w:r>
          </w:p>
        </w:tc>
        <w:tc>
          <w:tcPr>
            <w:tcW w:w="99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55</w:t>
            </w: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项目产出</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15</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产出数量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产出质量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产出时效</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产出成本</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项目效益</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40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经济效益</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社会效益</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环境效益</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可持续影响</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服务对象满意度</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color w:val="000000"/>
                <w:sz w:val="24"/>
              </w:rPr>
            </w:pPr>
            <w:r>
              <w:rPr>
                <w:rFonts w:hint="eastAsia" w:ascii="宋体" w:hAnsi="宋体" w:eastAsia="宋体"/>
                <w:color w:val="00000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31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总分</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43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92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color w:val="000000"/>
                <w:sz w:val="24"/>
              </w:rPr>
            </w:pPr>
            <w:r>
              <w:rPr>
                <w:rFonts w:hint="eastAsia" w:ascii="宋体" w:hAnsi="宋体" w:eastAsia="宋体"/>
                <w:bCs/>
                <w:color w:val="000000"/>
                <w:sz w:val="24"/>
              </w:rPr>
              <w:t>100</w:t>
            </w:r>
          </w:p>
        </w:tc>
        <w:tc>
          <w:tcPr>
            <w:tcW w:w="13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38" w:type="dxa"/>
            <w:gridSpan w:val="8"/>
            <w:vAlign w:val="center"/>
          </w:tcPr>
          <w:p>
            <w:pPr>
              <w:spacing w:line="440" w:lineRule="exact"/>
              <w:jc w:val="center"/>
              <w:rPr>
                <w:rFonts w:ascii="宋体" w:hAnsi="宋体" w:eastAsia="宋体"/>
                <w:sz w:val="24"/>
              </w:rPr>
            </w:pPr>
            <w:r>
              <w:rPr>
                <w:rFonts w:hint="eastAsia" w:ascii="宋体" w:hAnsi="宋体" w:eastAsia="宋体"/>
                <w:sz w:val="24"/>
              </w:rPr>
              <w:t>评价等次</w:t>
            </w:r>
          </w:p>
        </w:tc>
        <w:tc>
          <w:tcPr>
            <w:tcW w:w="4151" w:type="dxa"/>
            <w:gridSpan w:val="8"/>
            <w:vAlign w:val="center"/>
          </w:tcPr>
          <w:p>
            <w:pPr>
              <w:spacing w:line="440" w:lineRule="exact"/>
              <w:jc w:val="center"/>
              <w:rPr>
                <w:rFonts w:ascii="宋体" w:hAnsi="宋体" w:eastAsia="宋体"/>
                <w:sz w:val="24"/>
              </w:rPr>
            </w:pPr>
            <w:r>
              <w:rPr>
                <w:rFonts w:hint="eastAsia" w:ascii="宋体" w:hAnsi="宋体" w:eastAsia="宋体"/>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789" w:type="dxa"/>
            <w:gridSpan w:val="16"/>
            <w:vAlign w:val="center"/>
          </w:tcPr>
          <w:p>
            <w:pPr>
              <w:spacing w:line="440" w:lineRule="exact"/>
              <w:rPr>
                <w:rFonts w:ascii="宋体" w:hAnsi="宋体" w:eastAsia="宋体"/>
                <w:b/>
                <w:bCs/>
                <w:sz w:val="24"/>
              </w:rPr>
            </w:pPr>
            <w:r>
              <w:rPr>
                <w:rFonts w:hint="eastAsia" w:ascii="宋体" w:hAnsi="宋体" w:eastAsia="宋体"/>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tabs>
                <w:tab w:val="left" w:pos="592"/>
              </w:tabs>
              <w:spacing w:line="440" w:lineRule="exact"/>
              <w:jc w:val="center"/>
              <w:rPr>
                <w:rFonts w:ascii="宋体" w:hAnsi="宋体" w:eastAsia="宋体"/>
                <w:sz w:val="24"/>
              </w:rPr>
            </w:pPr>
            <w:r>
              <w:rPr>
                <w:rFonts w:hint="eastAsia" w:ascii="宋体" w:hAnsi="宋体" w:eastAsia="宋体"/>
                <w:sz w:val="24"/>
              </w:rPr>
              <w:t>姓  名</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职务/职称</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单   位</w:t>
            </w:r>
          </w:p>
        </w:tc>
        <w:tc>
          <w:tcPr>
            <w:tcW w:w="1364" w:type="dxa"/>
            <w:gridSpan w:val="3"/>
            <w:vAlign w:val="center"/>
          </w:tcPr>
          <w:p>
            <w:pPr>
              <w:spacing w:line="440" w:lineRule="exact"/>
              <w:jc w:val="center"/>
              <w:rPr>
                <w:rFonts w:ascii="宋体" w:hAnsi="宋体" w:eastAsia="宋体"/>
                <w:sz w:val="24"/>
              </w:rPr>
            </w:pPr>
            <w:r>
              <w:rPr>
                <w:rFonts w:hint="eastAsia" w:ascii="宋体" w:hAnsi="宋体" w:eastAsia="宋体"/>
                <w:sz w:val="24"/>
              </w:rPr>
              <w:t>项目评分</w:t>
            </w:r>
          </w:p>
        </w:tc>
        <w:tc>
          <w:tcPr>
            <w:tcW w:w="1382" w:type="dxa"/>
            <w:gridSpan w:val="2"/>
            <w:vAlign w:val="center"/>
          </w:tcPr>
          <w:p>
            <w:pPr>
              <w:spacing w:line="440" w:lineRule="exact"/>
              <w:jc w:val="center"/>
              <w:rPr>
                <w:rFonts w:ascii="宋体" w:hAnsi="宋体" w:eastAsia="宋体"/>
                <w:sz w:val="24"/>
              </w:rPr>
            </w:pPr>
            <w:r>
              <w:rPr>
                <w:rFonts w:hint="eastAsia" w:ascii="宋体" w:hAnsi="宋体" w:eastAsia="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李战勇</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副局长</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hint="default" w:ascii="宋体" w:hAnsi="宋体" w:eastAsia="宋体"/>
                <w:sz w:val="24"/>
                <w:lang w:val="en-US" w:eastAsia="zh-CN"/>
              </w:rPr>
            </w:pPr>
            <w:r>
              <w:rPr>
                <w:rFonts w:hint="eastAsia" w:ascii="宋体" w:hAnsi="宋体" w:eastAsia="宋体"/>
                <w:sz w:val="24"/>
                <w:lang w:val="en-US" w:eastAsia="zh-CN"/>
              </w:rPr>
              <w:t>95</w:t>
            </w:r>
          </w:p>
        </w:tc>
        <w:tc>
          <w:tcPr>
            <w:tcW w:w="1382" w:type="dxa"/>
            <w:gridSpan w:val="2"/>
            <w:vAlign w:val="center"/>
          </w:tcPr>
          <w:p>
            <w:pPr>
              <w:spacing w:line="440" w:lineRule="exact"/>
              <w:jc w:val="center"/>
              <w:rPr>
                <w:rFonts w:ascii="宋体" w:hAnsi="宋体" w:eastAsia="宋体" w:cs="Times New Roman"/>
                <w:kern w:val="2"/>
                <w:sz w:val="24"/>
                <w:szCs w:val="24"/>
                <w:lang w:val="en-US" w:eastAsia="zh-CN" w:bidi="ar-SA"/>
              </w:rPr>
            </w:pPr>
            <w:r>
              <w:rPr>
                <w:rFonts w:hint="eastAsia" w:ascii="宋体" w:hAnsi="宋体" w:eastAsia="宋体"/>
                <w:sz w:val="24"/>
              </w:rPr>
              <w:t>李战勇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曾钢平</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处长</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hint="default" w:ascii="宋体" w:hAnsi="宋体" w:eastAsia="宋体"/>
                <w:sz w:val="24"/>
                <w:lang w:val="en-US" w:eastAsia="zh-CN"/>
              </w:rPr>
            </w:pPr>
            <w:r>
              <w:rPr>
                <w:rFonts w:hint="eastAsia" w:ascii="宋体" w:hAnsi="宋体" w:eastAsia="宋体"/>
                <w:sz w:val="24"/>
                <w:lang w:val="en-US" w:eastAsia="zh-CN"/>
              </w:rPr>
              <w:t>96</w:t>
            </w:r>
          </w:p>
        </w:tc>
        <w:tc>
          <w:tcPr>
            <w:tcW w:w="1382" w:type="dxa"/>
            <w:gridSpan w:val="2"/>
            <w:vAlign w:val="center"/>
          </w:tcPr>
          <w:p>
            <w:pPr>
              <w:spacing w:line="440" w:lineRule="exact"/>
              <w:jc w:val="center"/>
              <w:rPr>
                <w:rFonts w:ascii="宋体" w:hAnsi="宋体" w:eastAsia="宋体" w:cs="Times New Roman"/>
                <w:kern w:val="2"/>
                <w:sz w:val="24"/>
                <w:szCs w:val="24"/>
                <w:lang w:val="en-US" w:eastAsia="zh-CN" w:bidi="ar-SA"/>
              </w:rPr>
            </w:pPr>
            <w:r>
              <w:rPr>
                <w:rFonts w:hint="eastAsia" w:ascii="宋体" w:hAnsi="宋体" w:eastAsia="宋体"/>
                <w:sz w:val="24"/>
              </w:rPr>
              <w:t>曾钢平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胡金文</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处长</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hint="default" w:ascii="宋体" w:hAnsi="宋体" w:eastAsia="宋体"/>
                <w:sz w:val="24"/>
                <w:lang w:val="en-US" w:eastAsia="zh-CN"/>
              </w:rPr>
            </w:pPr>
            <w:r>
              <w:rPr>
                <w:rFonts w:hint="eastAsia" w:ascii="宋体" w:hAnsi="宋体" w:eastAsia="宋体"/>
                <w:sz w:val="24"/>
                <w:lang w:val="en-US" w:eastAsia="zh-CN"/>
              </w:rPr>
              <w:t>95</w:t>
            </w:r>
          </w:p>
        </w:tc>
        <w:tc>
          <w:tcPr>
            <w:tcW w:w="1382" w:type="dxa"/>
            <w:gridSpan w:val="2"/>
            <w:vAlign w:val="center"/>
          </w:tcPr>
          <w:p>
            <w:pPr>
              <w:spacing w:line="440" w:lineRule="exact"/>
              <w:jc w:val="center"/>
              <w:rPr>
                <w:rFonts w:ascii="宋体" w:hAnsi="宋体" w:eastAsia="宋体" w:cs="Times New Roman"/>
                <w:kern w:val="2"/>
                <w:sz w:val="24"/>
                <w:szCs w:val="24"/>
                <w:lang w:val="en-US" w:eastAsia="zh-CN" w:bidi="ar-SA"/>
              </w:rPr>
            </w:pPr>
            <w:r>
              <w:rPr>
                <w:rFonts w:hint="eastAsia" w:ascii="宋体" w:hAnsi="宋体" w:eastAsia="宋体"/>
                <w:sz w:val="24"/>
              </w:rPr>
              <w:t>胡金文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雷佑伦</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hint="default" w:ascii="宋体" w:hAnsi="宋体" w:eastAsia="宋体"/>
                <w:sz w:val="24"/>
                <w:lang w:val="en-US" w:eastAsia="zh-CN"/>
              </w:rPr>
            </w:pPr>
            <w:r>
              <w:rPr>
                <w:rFonts w:hint="eastAsia" w:ascii="宋体" w:hAnsi="宋体" w:eastAsia="宋体"/>
                <w:sz w:val="24"/>
                <w:lang w:val="en-US" w:eastAsia="zh-CN"/>
              </w:rPr>
              <w:t>95</w:t>
            </w:r>
          </w:p>
        </w:tc>
        <w:tc>
          <w:tcPr>
            <w:tcW w:w="1382" w:type="dxa"/>
            <w:gridSpan w:val="2"/>
            <w:vAlign w:val="center"/>
          </w:tcPr>
          <w:p>
            <w:pPr>
              <w:spacing w:line="440" w:lineRule="exact"/>
              <w:jc w:val="center"/>
              <w:rPr>
                <w:rFonts w:ascii="宋体" w:hAnsi="宋体" w:eastAsia="宋体" w:cs="Times New Roman"/>
                <w:kern w:val="2"/>
                <w:sz w:val="24"/>
                <w:szCs w:val="24"/>
                <w:lang w:val="en-US" w:eastAsia="zh-CN" w:bidi="ar-SA"/>
              </w:rPr>
            </w:pPr>
            <w:r>
              <w:rPr>
                <w:rFonts w:hint="eastAsia" w:ascii="宋体" w:hAnsi="宋体" w:eastAsia="宋体"/>
                <w:sz w:val="24"/>
              </w:rPr>
              <w:t>雷佑伦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张 鹏</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主任科员</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hint="default" w:ascii="宋体" w:hAnsi="宋体" w:eastAsia="宋体"/>
                <w:sz w:val="24"/>
                <w:lang w:val="en-US" w:eastAsia="zh-CN"/>
              </w:rPr>
            </w:pPr>
            <w:r>
              <w:rPr>
                <w:rFonts w:hint="eastAsia" w:ascii="宋体" w:hAnsi="宋体" w:eastAsia="宋体"/>
                <w:sz w:val="24"/>
                <w:lang w:val="en-US" w:eastAsia="zh-CN"/>
              </w:rPr>
              <w:t>97</w:t>
            </w:r>
          </w:p>
        </w:tc>
        <w:tc>
          <w:tcPr>
            <w:tcW w:w="1382" w:type="dxa"/>
            <w:gridSpan w:val="2"/>
            <w:vAlign w:val="center"/>
          </w:tcPr>
          <w:p>
            <w:pPr>
              <w:spacing w:line="440" w:lineRule="exact"/>
              <w:jc w:val="center"/>
              <w:rPr>
                <w:rFonts w:ascii="宋体" w:hAnsi="宋体" w:eastAsia="宋体" w:cs="Times New Roman"/>
                <w:kern w:val="2"/>
                <w:sz w:val="24"/>
                <w:szCs w:val="24"/>
                <w:lang w:val="en-US" w:eastAsia="zh-CN" w:bidi="ar-SA"/>
              </w:rPr>
            </w:pPr>
            <w:r>
              <w:rPr>
                <w:rFonts w:hint="eastAsia" w:ascii="宋体" w:hAnsi="宋体" w:eastAsia="宋体"/>
                <w:sz w:val="24"/>
              </w:rPr>
              <w:t>张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王 丽</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主任科员</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hint="default" w:ascii="宋体" w:hAnsi="宋体" w:eastAsia="宋体"/>
                <w:sz w:val="24"/>
                <w:lang w:val="en-US" w:eastAsia="zh-CN"/>
              </w:rPr>
            </w:pPr>
            <w:r>
              <w:rPr>
                <w:rFonts w:hint="eastAsia" w:ascii="宋体" w:hAnsi="宋体" w:eastAsia="宋体"/>
                <w:sz w:val="24"/>
                <w:lang w:val="en-US" w:eastAsia="zh-CN"/>
              </w:rPr>
              <w:t>97</w:t>
            </w:r>
          </w:p>
        </w:tc>
        <w:tc>
          <w:tcPr>
            <w:tcW w:w="1382" w:type="dxa"/>
            <w:gridSpan w:val="2"/>
            <w:vAlign w:val="center"/>
          </w:tcPr>
          <w:p>
            <w:pPr>
              <w:spacing w:line="440" w:lineRule="exact"/>
              <w:jc w:val="center"/>
              <w:rPr>
                <w:rFonts w:ascii="宋体" w:hAnsi="宋体" w:eastAsia="宋体" w:cs="Times New Roman"/>
                <w:kern w:val="2"/>
                <w:sz w:val="24"/>
                <w:szCs w:val="24"/>
                <w:lang w:val="en-US" w:eastAsia="zh-CN" w:bidi="ar-SA"/>
              </w:rPr>
            </w:pPr>
            <w:r>
              <w:rPr>
                <w:rFonts w:hint="eastAsia" w:ascii="宋体" w:hAnsi="宋体" w:eastAsia="宋体"/>
                <w:sz w:val="24"/>
              </w:rPr>
              <w:t>王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徐晓枫</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工程师</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hint="default" w:ascii="宋体" w:hAnsi="宋体" w:eastAsia="宋体"/>
                <w:sz w:val="24"/>
                <w:lang w:val="en-US" w:eastAsia="zh-CN"/>
              </w:rPr>
            </w:pPr>
            <w:r>
              <w:rPr>
                <w:rFonts w:hint="eastAsia" w:ascii="宋体" w:hAnsi="宋体" w:eastAsia="宋体"/>
                <w:sz w:val="24"/>
                <w:lang w:val="en-US" w:eastAsia="zh-CN"/>
              </w:rPr>
              <w:t>96</w:t>
            </w:r>
          </w:p>
        </w:tc>
        <w:tc>
          <w:tcPr>
            <w:tcW w:w="1382" w:type="dxa"/>
            <w:gridSpan w:val="2"/>
            <w:vAlign w:val="center"/>
          </w:tcPr>
          <w:p>
            <w:pPr>
              <w:spacing w:line="440" w:lineRule="exact"/>
              <w:jc w:val="center"/>
              <w:rPr>
                <w:rFonts w:ascii="宋体" w:hAnsi="宋体" w:eastAsia="宋体" w:cs="Times New Roman"/>
                <w:kern w:val="2"/>
                <w:sz w:val="24"/>
                <w:szCs w:val="24"/>
                <w:lang w:val="en-US" w:eastAsia="zh-CN" w:bidi="ar-SA"/>
              </w:rPr>
            </w:pPr>
            <w:r>
              <w:rPr>
                <w:rFonts w:hint="eastAsia" w:ascii="宋体" w:hAnsi="宋体" w:eastAsia="宋体"/>
                <w:sz w:val="24"/>
              </w:rPr>
              <w:t>徐晓枫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艾文莹</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会计师</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hint="default" w:ascii="宋体" w:hAnsi="宋体" w:eastAsia="宋体"/>
                <w:sz w:val="24"/>
                <w:lang w:val="en-US" w:eastAsia="zh-CN"/>
              </w:rPr>
            </w:pPr>
            <w:r>
              <w:rPr>
                <w:rFonts w:hint="eastAsia" w:ascii="宋体" w:hAnsi="宋体" w:eastAsia="宋体"/>
                <w:sz w:val="24"/>
                <w:lang w:val="en-US" w:eastAsia="zh-CN"/>
              </w:rPr>
              <w:t>97</w:t>
            </w:r>
          </w:p>
        </w:tc>
        <w:tc>
          <w:tcPr>
            <w:tcW w:w="1382" w:type="dxa"/>
            <w:gridSpan w:val="2"/>
            <w:vAlign w:val="center"/>
          </w:tcPr>
          <w:p>
            <w:pPr>
              <w:spacing w:line="440" w:lineRule="exact"/>
              <w:jc w:val="center"/>
              <w:rPr>
                <w:rFonts w:ascii="宋体" w:hAnsi="宋体" w:eastAsia="宋体" w:cs="Times New Roman"/>
                <w:kern w:val="2"/>
                <w:sz w:val="24"/>
                <w:szCs w:val="24"/>
                <w:lang w:val="en-US" w:eastAsia="zh-CN" w:bidi="ar-SA"/>
              </w:rPr>
            </w:pPr>
            <w:r>
              <w:rPr>
                <w:rFonts w:hint="eastAsia" w:ascii="宋体" w:hAnsi="宋体" w:eastAsia="宋体"/>
                <w:sz w:val="24"/>
              </w:rPr>
              <w:t>艾文莹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59" w:type="dxa"/>
            <w:gridSpan w:val="2"/>
            <w:vAlign w:val="center"/>
          </w:tcPr>
          <w:p>
            <w:pPr>
              <w:spacing w:line="440" w:lineRule="exact"/>
              <w:jc w:val="center"/>
              <w:rPr>
                <w:rFonts w:ascii="宋体" w:hAnsi="宋体" w:eastAsia="宋体"/>
                <w:sz w:val="24"/>
              </w:rPr>
            </w:pPr>
            <w:r>
              <w:rPr>
                <w:rFonts w:hint="eastAsia" w:ascii="宋体" w:hAnsi="宋体" w:eastAsia="宋体"/>
                <w:sz w:val="24"/>
              </w:rPr>
              <w:t>黄子妍</w:t>
            </w:r>
          </w:p>
        </w:tc>
        <w:tc>
          <w:tcPr>
            <w:tcW w:w="1679" w:type="dxa"/>
            <w:gridSpan w:val="4"/>
            <w:vAlign w:val="center"/>
          </w:tcPr>
          <w:p>
            <w:pPr>
              <w:spacing w:line="440" w:lineRule="exact"/>
              <w:jc w:val="center"/>
              <w:rPr>
                <w:rFonts w:ascii="宋体" w:hAnsi="宋体" w:eastAsia="宋体"/>
                <w:sz w:val="24"/>
              </w:rPr>
            </w:pPr>
            <w:r>
              <w:rPr>
                <w:rFonts w:hint="eastAsia" w:ascii="宋体" w:hAnsi="宋体" w:eastAsia="宋体"/>
                <w:sz w:val="24"/>
              </w:rPr>
              <w:t>助理会计师</w:t>
            </w:r>
          </w:p>
        </w:tc>
        <w:tc>
          <w:tcPr>
            <w:tcW w:w="2805" w:type="dxa"/>
            <w:gridSpan w:val="5"/>
            <w:vAlign w:val="center"/>
          </w:tcPr>
          <w:p>
            <w:pPr>
              <w:spacing w:line="440" w:lineRule="exact"/>
              <w:jc w:val="center"/>
              <w:rPr>
                <w:rFonts w:ascii="宋体" w:hAnsi="宋体" w:eastAsia="宋体"/>
                <w:sz w:val="24"/>
              </w:rPr>
            </w:pPr>
            <w:r>
              <w:rPr>
                <w:rFonts w:hint="eastAsia" w:ascii="宋体" w:hAnsi="宋体" w:eastAsia="宋体"/>
                <w:sz w:val="24"/>
              </w:rPr>
              <w:t>海南省地震局</w:t>
            </w:r>
          </w:p>
        </w:tc>
        <w:tc>
          <w:tcPr>
            <w:tcW w:w="1364" w:type="dxa"/>
            <w:gridSpan w:val="3"/>
            <w:vAlign w:val="center"/>
          </w:tcPr>
          <w:p>
            <w:pPr>
              <w:spacing w:line="440" w:lineRule="exact"/>
              <w:jc w:val="center"/>
              <w:rPr>
                <w:rFonts w:hint="default" w:ascii="宋体" w:hAnsi="宋体" w:eastAsia="宋体"/>
                <w:sz w:val="24"/>
                <w:lang w:val="en-US" w:eastAsia="zh-CN"/>
              </w:rPr>
            </w:pPr>
            <w:r>
              <w:rPr>
                <w:rFonts w:hint="eastAsia" w:ascii="宋体" w:hAnsi="宋体" w:eastAsia="宋体"/>
                <w:sz w:val="24"/>
                <w:lang w:val="en-US" w:eastAsia="zh-CN"/>
              </w:rPr>
              <w:t>96</w:t>
            </w:r>
          </w:p>
        </w:tc>
        <w:tc>
          <w:tcPr>
            <w:tcW w:w="1382" w:type="dxa"/>
            <w:gridSpan w:val="2"/>
            <w:vAlign w:val="center"/>
          </w:tcPr>
          <w:p>
            <w:pPr>
              <w:spacing w:line="440" w:lineRule="exact"/>
              <w:jc w:val="center"/>
              <w:rPr>
                <w:rFonts w:ascii="宋体" w:hAnsi="宋体" w:eastAsia="宋体" w:cs="Times New Roman"/>
                <w:kern w:val="2"/>
                <w:sz w:val="24"/>
                <w:szCs w:val="24"/>
                <w:lang w:val="en-US" w:eastAsia="zh-CN" w:bidi="ar-SA"/>
              </w:rPr>
            </w:pPr>
            <w:r>
              <w:rPr>
                <w:rFonts w:hint="eastAsia" w:ascii="宋体" w:hAnsi="宋体" w:eastAsia="宋体"/>
                <w:sz w:val="24"/>
              </w:rPr>
              <w:t>黄子妍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7" w:hRule="atLeast"/>
        </w:trPr>
        <w:tc>
          <w:tcPr>
            <w:tcW w:w="8789" w:type="dxa"/>
            <w:gridSpan w:val="16"/>
            <w:tcBorders>
              <w:bottom w:val="single" w:color="auto" w:sz="4" w:space="0"/>
            </w:tcBorders>
            <w:vAlign w:val="center"/>
          </w:tcPr>
          <w:p>
            <w:pPr>
              <w:spacing w:line="440" w:lineRule="exact"/>
              <w:rPr>
                <w:rFonts w:hint="eastAsia" w:ascii="宋体" w:hAnsi="宋体" w:eastAsia="宋体"/>
                <w:sz w:val="24"/>
                <w:lang w:val="en-US" w:eastAsia="zh-CN"/>
              </w:rPr>
            </w:pPr>
            <w:r>
              <w:rPr>
                <w:rFonts w:hint="eastAsia" w:ascii="宋体" w:hAnsi="宋体" w:eastAsia="宋体"/>
                <w:sz w:val="24"/>
              </w:rPr>
              <w:t>评价工作组组长（签字）：</w:t>
            </w:r>
            <w:r>
              <w:rPr>
                <w:rFonts w:ascii="宋体" w:hAnsi="宋体" w:eastAsia="宋体"/>
                <w:sz w:val="24"/>
              </w:rPr>
              <w:t xml:space="preserve"> </w:t>
            </w:r>
            <w:r>
              <w:rPr>
                <w:rFonts w:hint="eastAsia" w:ascii="宋体" w:hAnsi="宋体" w:eastAsia="宋体"/>
                <w:sz w:val="24"/>
                <w:lang w:eastAsia="zh-CN"/>
              </w:rPr>
              <w:t>李战勇</w:t>
            </w:r>
          </w:p>
          <w:p>
            <w:pPr>
              <w:spacing w:line="440" w:lineRule="exact"/>
              <w:jc w:val="center"/>
              <w:rPr>
                <w:rFonts w:ascii="宋体" w:hAnsi="宋体" w:eastAsia="宋体"/>
                <w:sz w:val="24"/>
              </w:rPr>
            </w:pPr>
          </w:p>
          <w:p>
            <w:pPr>
              <w:spacing w:line="440" w:lineRule="exact"/>
              <w:jc w:val="center"/>
              <w:rPr>
                <w:rFonts w:ascii="宋体" w:hAnsi="宋体" w:eastAsia="宋体"/>
                <w:sz w:val="24"/>
              </w:rPr>
            </w:pPr>
          </w:p>
          <w:p>
            <w:pPr>
              <w:spacing w:line="440" w:lineRule="exact"/>
              <w:jc w:val="center"/>
              <w:rPr>
                <w:rFonts w:ascii="宋体" w:hAnsi="宋体" w:eastAsia="宋体"/>
                <w:sz w:val="24"/>
              </w:rPr>
            </w:pPr>
            <w:r>
              <w:rPr>
                <w:rFonts w:ascii="宋体" w:hAnsi="宋体" w:eastAsia="宋体"/>
                <w:sz w:val="24"/>
              </w:rPr>
              <w:t>20</w:t>
            </w:r>
            <w:r>
              <w:rPr>
                <w:rFonts w:hint="eastAsia" w:ascii="宋体" w:hAnsi="宋体" w:eastAsia="宋体"/>
                <w:sz w:val="24"/>
              </w:rPr>
              <w:t>20年 5 月 28日</w:t>
            </w:r>
          </w:p>
        </w:tc>
      </w:tr>
    </w:tbl>
    <w:p>
      <w:pPr>
        <w:spacing w:line="578" w:lineRule="exact"/>
        <w:rPr>
          <w:rFonts w:ascii="宋体" w:hAnsi="宋体" w:eastAsia="宋体"/>
          <w:b/>
          <w:bCs/>
          <w:color w:val="000000"/>
          <w:sz w:val="44"/>
          <w:szCs w:val="44"/>
        </w:rPr>
      </w:pPr>
    </w:p>
    <w:p>
      <w:pPr>
        <w:spacing w:line="578" w:lineRule="exact"/>
        <w:jc w:val="center"/>
        <w:rPr>
          <w:rFonts w:ascii="宋体" w:hAnsi="宋体" w:eastAsia="宋体"/>
          <w:b/>
          <w:bCs/>
          <w:color w:val="000000"/>
          <w:sz w:val="44"/>
          <w:szCs w:val="44"/>
        </w:rPr>
      </w:pPr>
      <w:r>
        <w:rPr>
          <w:rFonts w:hint="eastAsia" w:ascii="宋体" w:hAnsi="宋体" w:eastAsia="宋体"/>
          <w:b/>
          <w:bCs/>
          <w:color w:val="000000"/>
          <w:sz w:val="44"/>
          <w:szCs w:val="44"/>
        </w:rPr>
        <w:t>2019年海南省地震局防震减灾规划及体系建设项目绩效评价报告</w:t>
      </w:r>
    </w:p>
    <w:p>
      <w:pPr>
        <w:spacing w:line="578" w:lineRule="exact"/>
        <w:ind w:firstLine="640" w:firstLineChars="200"/>
        <w:outlineLvl w:val="0"/>
        <w:rPr>
          <w:rFonts w:ascii="黑体" w:hAnsi="黑体" w:eastAsia="黑体" w:cs="黑体"/>
          <w:color w:val="000000"/>
        </w:rPr>
      </w:pPr>
      <w:r>
        <w:rPr>
          <w:rFonts w:hint="eastAsia" w:ascii="黑体" w:hAnsi="黑体" w:eastAsia="黑体" w:cs="黑体"/>
          <w:color w:val="000000"/>
        </w:rPr>
        <w:t>一、项目概况</w:t>
      </w:r>
    </w:p>
    <w:p>
      <w:pPr>
        <w:spacing w:line="578" w:lineRule="exact"/>
        <w:ind w:firstLine="640" w:firstLineChars="200"/>
        <w:rPr>
          <w:szCs w:val="32"/>
        </w:rPr>
      </w:pPr>
      <w:r>
        <w:rPr>
          <w:rFonts w:hint="eastAsia"/>
          <w:szCs w:val="32"/>
        </w:rPr>
        <w:t>（一）</w:t>
      </w:r>
      <w:r>
        <w:rPr>
          <w:rFonts w:hint="eastAsia" w:hAnsi="宋体" w:cs="宋体"/>
          <w:color w:val="000000"/>
          <w:kern w:val="0"/>
          <w:szCs w:val="32"/>
        </w:rPr>
        <w:t>项目基本性质、用途和主要内容</w:t>
      </w:r>
    </w:p>
    <w:p>
      <w:pPr>
        <w:spacing w:line="578" w:lineRule="exact"/>
        <w:ind w:firstLine="640" w:firstLineChars="200"/>
        <w:rPr>
          <w:szCs w:val="32"/>
        </w:rPr>
      </w:pPr>
      <w:r>
        <w:rPr>
          <w:rFonts w:hint="eastAsia"/>
          <w:szCs w:val="32"/>
        </w:rPr>
        <w:t>根据省地震局职责：组织编制海南省防震减灾规划和计划；推进防震减灾计划体制的建立和完善；指导市、县防震减灾工作；按照全国地震监测台网（站）建设规划，负责统一规划本行政区域内地震及火山台网（站）及信息系统的建设，实现资源共享；对市、县地震监测台网（站）和群测群防工作实行行业管理；负责全省地震行业质量与技术监督管理工作；管理地震计量工作。</w:t>
      </w:r>
    </w:p>
    <w:p>
      <w:pPr>
        <w:spacing w:line="578" w:lineRule="exact"/>
        <w:rPr>
          <w:szCs w:val="32"/>
        </w:rPr>
      </w:pPr>
      <w:r>
        <w:rPr>
          <w:rFonts w:hint="eastAsia"/>
          <w:szCs w:val="32"/>
        </w:rPr>
        <w:t xml:space="preserve">   （二）项目</w:t>
      </w:r>
      <w:r>
        <w:rPr>
          <w:szCs w:val="32"/>
        </w:rPr>
        <w:t>绩效目标</w:t>
      </w:r>
    </w:p>
    <w:p>
      <w:pPr>
        <w:spacing w:line="578" w:lineRule="exact"/>
        <w:ind w:firstLine="640" w:firstLineChars="200"/>
        <w:rPr>
          <w:szCs w:val="32"/>
        </w:rPr>
      </w:pPr>
      <w:r>
        <w:rPr>
          <w:rFonts w:hint="eastAsia"/>
          <w:szCs w:val="32"/>
        </w:rPr>
        <w:t>防震减灾</w:t>
      </w:r>
      <w:r>
        <w:rPr>
          <w:szCs w:val="32"/>
        </w:rPr>
        <w:t>规划及体系建设项目绩效</w:t>
      </w:r>
      <w:r>
        <w:rPr>
          <w:rFonts w:hint="eastAsia"/>
          <w:szCs w:val="32"/>
        </w:rPr>
        <w:t>产出</w:t>
      </w:r>
      <w:r>
        <w:rPr>
          <w:szCs w:val="32"/>
        </w:rPr>
        <w:t>目标为到省内外</w:t>
      </w:r>
      <w:r>
        <w:rPr>
          <w:rFonts w:hint="eastAsia"/>
          <w:szCs w:val="32"/>
        </w:rPr>
        <w:t>开展</w:t>
      </w:r>
      <w:r>
        <w:rPr>
          <w:szCs w:val="32"/>
        </w:rPr>
        <w:t>防震减灾工作调研4</w:t>
      </w:r>
      <w:r>
        <w:rPr>
          <w:rFonts w:hint="eastAsia"/>
          <w:szCs w:val="32"/>
        </w:rPr>
        <w:t>批次</w:t>
      </w:r>
      <w:r>
        <w:rPr>
          <w:szCs w:val="32"/>
        </w:rPr>
        <w:t>以上，对全省进行防震</w:t>
      </w:r>
      <w:r>
        <w:rPr>
          <w:rFonts w:hint="eastAsia"/>
          <w:szCs w:val="32"/>
        </w:rPr>
        <w:t>减灾</w:t>
      </w:r>
      <w:r>
        <w:rPr>
          <w:szCs w:val="32"/>
        </w:rPr>
        <w:t>科普宣传人次达</w:t>
      </w:r>
      <w:r>
        <w:rPr>
          <w:rFonts w:hint="eastAsia"/>
          <w:szCs w:val="32"/>
        </w:rPr>
        <w:t>10万</w:t>
      </w:r>
      <w:r>
        <w:rPr>
          <w:szCs w:val="32"/>
        </w:rPr>
        <w:t>人次以上，维护群测群防</w:t>
      </w:r>
      <w:r>
        <w:rPr>
          <w:rFonts w:hint="eastAsia"/>
          <w:szCs w:val="32"/>
        </w:rPr>
        <w:t>网765个</w:t>
      </w:r>
      <w:r>
        <w:rPr>
          <w:szCs w:val="32"/>
        </w:rPr>
        <w:t>；项目绩效成效为通过宣传公众防震减灾意识普遍提高，</w:t>
      </w:r>
      <w:r>
        <w:rPr>
          <w:rFonts w:hint="eastAsia"/>
          <w:szCs w:val="32"/>
        </w:rPr>
        <w:t>通过</w:t>
      </w:r>
      <w:r>
        <w:rPr>
          <w:szCs w:val="32"/>
        </w:rPr>
        <w:t>调研</w:t>
      </w:r>
      <w:r>
        <w:rPr>
          <w:rFonts w:hint="eastAsia"/>
          <w:szCs w:val="32"/>
        </w:rPr>
        <w:t>促进我省</w:t>
      </w:r>
      <w:r>
        <w:rPr>
          <w:szCs w:val="32"/>
        </w:rPr>
        <w:t>防震减灾工作</w:t>
      </w:r>
      <w:r>
        <w:rPr>
          <w:rFonts w:hint="eastAsia"/>
          <w:szCs w:val="32"/>
        </w:rPr>
        <w:t>发展</w:t>
      </w:r>
      <w:r>
        <w:rPr>
          <w:szCs w:val="32"/>
        </w:rPr>
        <w:t>，</w:t>
      </w:r>
      <w:r>
        <w:rPr>
          <w:rFonts w:hint="eastAsia"/>
          <w:szCs w:val="32"/>
        </w:rPr>
        <w:t>网络</w:t>
      </w:r>
      <w:r>
        <w:rPr>
          <w:szCs w:val="32"/>
        </w:rPr>
        <w:t>正常</w:t>
      </w:r>
      <w:r>
        <w:rPr>
          <w:rFonts w:hint="eastAsia"/>
          <w:szCs w:val="32"/>
        </w:rPr>
        <w:t>运转</w:t>
      </w:r>
      <w:r>
        <w:rPr>
          <w:szCs w:val="32"/>
        </w:rPr>
        <w:t>天数</w:t>
      </w:r>
      <w:r>
        <w:rPr>
          <w:rFonts w:hint="eastAsia"/>
          <w:szCs w:val="32"/>
        </w:rPr>
        <w:t>365天</w:t>
      </w:r>
      <w:r>
        <w:rPr>
          <w:szCs w:val="32"/>
        </w:rPr>
        <w:t>，宣传效果满意度</w:t>
      </w:r>
      <w:r>
        <w:rPr>
          <w:rFonts w:hint="eastAsia"/>
          <w:szCs w:val="32"/>
        </w:rPr>
        <w:t>95</w:t>
      </w:r>
      <w:r>
        <w:rPr>
          <w:szCs w:val="32"/>
        </w:rPr>
        <w:t>%以上。</w:t>
      </w:r>
    </w:p>
    <w:p>
      <w:pPr>
        <w:spacing w:line="578" w:lineRule="exact"/>
        <w:ind w:firstLine="640" w:firstLineChars="200"/>
        <w:rPr>
          <w:b/>
          <w:szCs w:val="32"/>
        </w:rPr>
      </w:pPr>
      <w:r>
        <w:rPr>
          <w:rFonts w:hint="eastAsia"/>
          <w:b/>
          <w:szCs w:val="32"/>
        </w:rPr>
        <w:t>二、项目资金使用及管理情况</w:t>
      </w:r>
    </w:p>
    <w:p>
      <w:pPr>
        <w:spacing w:line="578" w:lineRule="exact"/>
        <w:rPr>
          <w:szCs w:val="32"/>
        </w:rPr>
      </w:pPr>
      <w:r>
        <w:rPr>
          <w:rFonts w:hint="eastAsia"/>
          <w:szCs w:val="32"/>
        </w:rPr>
        <w:t xml:space="preserve">   （一）项目资金到位情况分析</w:t>
      </w:r>
    </w:p>
    <w:p>
      <w:pPr>
        <w:spacing w:line="578" w:lineRule="exact"/>
        <w:rPr>
          <w:szCs w:val="32"/>
        </w:rPr>
      </w:pPr>
      <w:r>
        <w:rPr>
          <w:rFonts w:hint="eastAsia"/>
          <w:szCs w:val="32"/>
        </w:rPr>
        <w:t xml:space="preserve">    本项目实施时间为2019年1月至2019年12月。全部系海南省财政拨款，计划投资额81.46万元，实际到位金额81.46万元。</w:t>
      </w:r>
    </w:p>
    <w:p>
      <w:pPr>
        <w:spacing w:line="578" w:lineRule="exact"/>
        <w:ind w:firstLine="640" w:firstLineChars="200"/>
        <w:rPr>
          <w:szCs w:val="32"/>
          <w:highlight w:val="yellow"/>
        </w:rPr>
      </w:pPr>
      <w:r>
        <w:rPr>
          <w:rFonts w:hint="eastAsia"/>
          <w:szCs w:val="32"/>
        </w:rPr>
        <w:t>（二）项目资金使用情况分析</w:t>
      </w:r>
    </w:p>
    <w:p>
      <w:pPr>
        <w:spacing w:line="578" w:lineRule="exact"/>
        <w:rPr>
          <w:szCs w:val="32"/>
        </w:rPr>
      </w:pPr>
      <w:r>
        <w:rPr>
          <w:rFonts w:hint="eastAsia"/>
          <w:szCs w:val="32"/>
        </w:rPr>
        <w:t xml:space="preserve">                                       单位：元</w:t>
      </w:r>
    </w:p>
    <w:tbl>
      <w:tblPr>
        <w:tblStyle w:val="8"/>
        <w:tblW w:w="6700" w:type="dxa"/>
        <w:jc w:val="center"/>
        <w:tblLayout w:type="fixed"/>
        <w:tblCellMar>
          <w:top w:w="0" w:type="dxa"/>
          <w:left w:w="108" w:type="dxa"/>
          <w:bottom w:w="0" w:type="dxa"/>
          <w:right w:w="108" w:type="dxa"/>
        </w:tblCellMar>
      </w:tblPr>
      <w:tblGrid>
        <w:gridCol w:w="758"/>
        <w:gridCol w:w="2520"/>
        <w:gridCol w:w="2022"/>
        <w:gridCol w:w="1400"/>
      </w:tblGrid>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项目</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支出经济分类名称</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20</w:t>
            </w:r>
            <w:r>
              <w:rPr>
                <w:rFonts w:ascii="宋体" w:hAnsi="宋体" w:eastAsia="宋体" w:cs="Arial"/>
                <w:b/>
                <w:bCs/>
                <w:color w:val="000000"/>
                <w:kern w:val="0"/>
                <w:sz w:val="20"/>
                <w:szCs w:val="20"/>
              </w:rPr>
              <w:t>1</w:t>
            </w:r>
            <w:r>
              <w:rPr>
                <w:rFonts w:hint="eastAsia" w:ascii="宋体" w:hAnsi="宋体" w:eastAsia="宋体" w:cs="Arial"/>
                <w:b/>
                <w:bCs/>
                <w:color w:val="000000"/>
                <w:kern w:val="0"/>
                <w:sz w:val="20"/>
                <w:szCs w:val="20"/>
              </w:rPr>
              <w:t>9年度支出金额</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支出占比</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办公费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10,618.94</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1.30%</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邮电费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2,555.00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0.31%</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差旅费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32,618.20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4.00%</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4</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维修(护)费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171,624.68</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21.06%</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5</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会议费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128,596.48</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15.78%</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6</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专用材料费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2,568.70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0.31%</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7</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劳务费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148,420.00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18.21%</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8</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其他商品和服务支出</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3,098.00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0.38%</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9</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办公设备购置</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314,500.00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38.60%</w:t>
            </w:r>
          </w:p>
        </w:tc>
      </w:tr>
      <w:tr>
        <w:tblPrEx>
          <w:tblCellMar>
            <w:top w:w="0" w:type="dxa"/>
            <w:left w:w="108" w:type="dxa"/>
            <w:bottom w:w="0" w:type="dxa"/>
            <w:right w:w="108" w:type="dxa"/>
          </w:tblCellMar>
        </w:tblPrEx>
        <w:trPr>
          <w:trHeight w:val="405" w:hRule="atLeast"/>
          <w:jc w:val="center"/>
        </w:trPr>
        <w:tc>
          <w:tcPr>
            <w:tcW w:w="75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2022" w:type="dxa"/>
            <w:tcBorders>
              <w:top w:val="nil"/>
              <w:left w:val="nil"/>
              <w:bottom w:val="single" w:color="000000" w:sz="4" w:space="0"/>
              <w:right w:val="nil"/>
            </w:tcBorders>
            <w:shd w:val="clear" w:color="auto" w:fill="auto"/>
            <w:vAlign w:val="center"/>
          </w:tcPr>
          <w:p>
            <w:pPr>
              <w:jc w:val="center"/>
              <w:rPr>
                <w:rFonts w:ascii="宋体" w:hAnsi="宋体" w:eastAsia="宋体" w:cs="Arial"/>
                <w:bCs/>
                <w:color w:val="000000"/>
                <w:kern w:val="0"/>
                <w:sz w:val="20"/>
                <w:szCs w:val="20"/>
              </w:rPr>
            </w:pPr>
            <w:r>
              <w:rPr>
                <w:rFonts w:hint="eastAsia" w:ascii="宋体" w:hAnsi="宋体" w:eastAsia="宋体" w:cs="Arial"/>
                <w:bCs/>
                <w:color w:val="000000"/>
                <w:kern w:val="0"/>
                <w:sz w:val="20"/>
                <w:szCs w:val="20"/>
              </w:rPr>
              <w:t>814,600.00</w:t>
            </w:r>
          </w:p>
        </w:tc>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w:t>
            </w:r>
          </w:p>
        </w:tc>
      </w:tr>
    </w:tbl>
    <w:p>
      <w:pPr>
        <w:spacing w:line="578" w:lineRule="exact"/>
        <w:ind w:firstLine="480" w:firstLineChars="150"/>
        <w:rPr>
          <w:szCs w:val="32"/>
        </w:rPr>
      </w:pPr>
      <w:r>
        <w:rPr>
          <w:szCs w:val="32"/>
        </w:rPr>
        <w:t>201</w:t>
      </w:r>
      <w:r>
        <w:rPr>
          <w:rFonts w:hint="eastAsia"/>
          <w:szCs w:val="32"/>
        </w:rPr>
        <w:t>9</w:t>
      </w:r>
      <w:r>
        <w:rPr>
          <w:szCs w:val="32"/>
        </w:rPr>
        <w:t>年防震减灾规划及体系建设项目总投资额</w:t>
      </w:r>
      <w:r>
        <w:rPr>
          <w:rFonts w:hint="eastAsia"/>
          <w:szCs w:val="32"/>
        </w:rPr>
        <w:t>814,600.00</w:t>
      </w:r>
      <w:r>
        <w:rPr>
          <w:szCs w:val="32"/>
        </w:rPr>
        <w:t>元，截止201</w:t>
      </w:r>
      <w:r>
        <w:rPr>
          <w:rFonts w:hint="eastAsia"/>
          <w:szCs w:val="32"/>
        </w:rPr>
        <w:t>9</w:t>
      </w:r>
      <w:r>
        <w:rPr>
          <w:szCs w:val="32"/>
        </w:rPr>
        <w:t>年12月31日，完成投资共计</w:t>
      </w:r>
      <w:r>
        <w:rPr>
          <w:rFonts w:hint="eastAsia"/>
          <w:szCs w:val="32"/>
        </w:rPr>
        <w:t>814,600.00</w:t>
      </w:r>
      <w:r>
        <w:rPr>
          <w:szCs w:val="32"/>
        </w:rPr>
        <w:t>元，占项目总投资额</w:t>
      </w:r>
      <w:r>
        <w:rPr>
          <w:rFonts w:hint="eastAsia"/>
          <w:szCs w:val="32"/>
        </w:rPr>
        <w:t>100.00</w:t>
      </w:r>
      <w:r>
        <w:rPr>
          <w:szCs w:val="32"/>
        </w:rPr>
        <w:t>%。项目执行进度</w:t>
      </w:r>
      <w:r>
        <w:rPr>
          <w:rFonts w:hint="eastAsia"/>
          <w:szCs w:val="32"/>
        </w:rPr>
        <w:t>较</w:t>
      </w:r>
      <w:r>
        <w:rPr>
          <w:szCs w:val="32"/>
        </w:rPr>
        <w:t>好，</w:t>
      </w:r>
      <w:r>
        <w:rPr>
          <w:rFonts w:hint="eastAsia"/>
          <w:szCs w:val="32"/>
        </w:rPr>
        <w:t>高效</w:t>
      </w:r>
      <w:r>
        <w:rPr>
          <w:szCs w:val="32"/>
        </w:rPr>
        <w:t>完成全年项目计划目标。</w:t>
      </w:r>
    </w:p>
    <w:p>
      <w:pPr>
        <w:ind w:firstLine="640" w:firstLineChars="200"/>
        <w:rPr>
          <w:szCs w:val="32"/>
        </w:rPr>
      </w:pPr>
      <w:r>
        <w:rPr>
          <w:szCs w:val="32"/>
        </w:rPr>
        <w:t>1</w:t>
      </w:r>
      <w:r>
        <w:rPr>
          <w:rFonts w:hint="eastAsia"/>
          <w:szCs w:val="32"/>
        </w:rPr>
        <w:t>.办公费：用于防震减灾规划运行、编制防震减灾规划目标及项目体系等日常办公用品购置 624.70元；其他办公费9,994.24元，共计10,618.94元。</w:t>
      </w:r>
    </w:p>
    <w:p>
      <w:pPr>
        <w:ind w:firstLine="640" w:firstLineChars="200"/>
        <w:rPr>
          <w:szCs w:val="32"/>
        </w:rPr>
      </w:pPr>
      <w:r>
        <w:rPr>
          <w:szCs w:val="32"/>
        </w:rPr>
        <w:t>2</w:t>
      </w:r>
      <w:r>
        <w:rPr>
          <w:rFonts w:hint="eastAsia"/>
          <w:szCs w:val="32"/>
        </w:rPr>
        <w:t>.邮电费：用于</w:t>
      </w:r>
      <w:r>
        <w:rPr>
          <w:szCs w:val="32"/>
        </w:rPr>
        <w:t>与中国地震局</w:t>
      </w:r>
      <w:r>
        <w:rPr>
          <w:rFonts w:hint="eastAsia"/>
          <w:szCs w:val="32"/>
        </w:rPr>
        <w:t>、</w:t>
      </w:r>
      <w:r>
        <w:rPr>
          <w:szCs w:val="32"/>
        </w:rPr>
        <w:t>46个系统内单位</w:t>
      </w:r>
      <w:r>
        <w:rPr>
          <w:rFonts w:hint="eastAsia"/>
          <w:szCs w:val="32"/>
        </w:rPr>
        <w:t>及市县</w:t>
      </w:r>
      <w:r>
        <w:rPr>
          <w:szCs w:val="32"/>
        </w:rPr>
        <w:t>地震局业务往来特快及普通邮寄费用</w:t>
      </w:r>
      <w:r>
        <w:rPr>
          <w:rFonts w:hint="eastAsia"/>
          <w:szCs w:val="32"/>
        </w:rPr>
        <w:t>等，共计2,555.00元。</w:t>
      </w:r>
    </w:p>
    <w:p>
      <w:pPr>
        <w:spacing w:line="578" w:lineRule="exact"/>
        <w:ind w:firstLine="640" w:firstLineChars="200"/>
        <w:rPr>
          <w:szCs w:val="32"/>
        </w:rPr>
      </w:pPr>
      <w:r>
        <w:rPr>
          <w:rFonts w:hint="eastAsia"/>
          <w:szCs w:val="32"/>
        </w:rPr>
        <w:t>3.差旅费：为完成全省防震减灾规划目标、项目体系和重点项目科研报告，指导全省市县做好防震减灾规划编制及重点项目衔接工作，用于专家、业务交流学者前往指导、咨询发生的人员差旅费；开展修法、立法调研工作、省内外调研及相关经费；地震应急、地震监测设施与观测环境执法专项检查等；开展地震各项业务专项工作所发生的省内外调研差旅费等，共计32,618.20元。</w:t>
      </w:r>
    </w:p>
    <w:p>
      <w:pPr>
        <w:spacing w:line="578" w:lineRule="exact"/>
        <w:ind w:firstLine="640" w:firstLineChars="200"/>
        <w:rPr>
          <w:szCs w:val="32"/>
        </w:rPr>
      </w:pPr>
      <w:r>
        <w:rPr>
          <w:rFonts w:hint="eastAsia"/>
          <w:szCs w:val="32"/>
        </w:rPr>
        <w:t>4.维修（护）费：用于防震减灾规划日常办公设备维修维护费，防震减灾中心大楼维修维护费；科技</w:t>
      </w:r>
      <w:r>
        <w:rPr>
          <w:szCs w:val="32"/>
        </w:rPr>
        <w:t>档案数字化加工费，微信公</w:t>
      </w:r>
      <w:r>
        <w:rPr>
          <w:rFonts w:hint="eastAsia"/>
          <w:szCs w:val="32"/>
        </w:rPr>
        <w:t>共</w:t>
      </w:r>
      <w:r>
        <w:rPr>
          <w:szCs w:val="32"/>
        </w:rPr>
        <w:t>平台拓展建设费，数字科普馆网后期维护费</w:t>
      </w:r>
      <w:r>
        <w:rPr>
          <w:rFonts w:hint="eastAsia"/>
          <w:szCs w:val="32"/>
        </w:rPr>
        <w:t>，台站有线光纤服务费</w:t>
      </w:r>
      <w:r>
        <w:rPr>
          <w:szCs w:val="32"/>
        </w:rPr>
        <w:t>等</w:t>
      </w:r>
      <w:r>
        <w:rPr>
          <w:rFonts w:hint="eastAsia"/>
          <w:szCs w:val="32"/>
        </w:rPr>
        <w:t>，</w:t>
      </w:r>
      <w:r>
        <w:rPr>
          <w:szCs w:val="32"/>
        </w:rPr>
        <w:t>共计</w:t>
      </w:r>
      <w:r>
        <w:rPr>
          <w:rFonts w:hint="eastAsia"/>
          <w:szCs w:val="32"/>
        </w:rPr>
        <w:t>171,624.68元</w:t>
      </w:r>
      <w:r>
        <w:rPr>
          <w:szCs w:val="32"/>
        </w:rPr>
        <w:t>。</w:t>
      </w:r>
    </w:p>
    <w:p>
      <w:pPr>
        <w:spacing w:line="578" w:lineRule="exact"/>
        <w:ind w:firstLine="640" w:firstLineChars="200"/>
        <w:rPr>
          <w:szCs w:val="32"/>
        </w:rPr>
      </w:pPr>
      <w:r>
        <w:rPr>
          <w:rFonts w:hint="eastAsia"/>
          <w:szCs w:val="32"/>
        </w:rPr>
        <w:t>5.会议费：用于2019年年中、2020年度地震趋势会商会等，共计 128,596.48元。</w:t>
      </w:r>
    </w:p>
    <w:p>
      <w:pPr>
        <w:ind w:firstLine="640" w:firstLineChars="200"/>
        <w:rPr>
          <w:szCs w:val="32"/>
        </w:rPr>
      </w:pPr>
      <w:r>
        <w:rPr>
          <w:rFonts w:hint="eastAsia"/>
          <w:szCs w:val="32"/>
        </w:rPr>
        <w:t>6.专用材料费：共计2,568.70元</w:t>
      </w:r>
      <w:r>
        <w:rPr>
          <w:szCs w:val="32"/>
        </w:rPr>
        <w:t>。</w:t>
      </w:r>
    </w:p>
    <w:p>
      <w:pPr>
        <w:ind w:firstLine="640" w:firstLineChars="200"/>
        <w:rPr>
          <w:szCs w:val="32"/>
        </w:rPr>
      </w:pPr>
      <w:r>
        <w:rPr>
          <w:rFonts w:hint="eastAsia"/>
          <w:szCs w:val="32"/>
        </w:rPr>
        <w:t>7.劳务费：用于举办海南省2019年度中学生防震减灾知识大赛补充148,420.00元。</w:t>
      </w:r>
      <w:r>
        <w:rPr>
          <w:szCs w:val="32"/>
        </w:rPr>
        <w:t xml:space="preserve"> </w:t>
      </w:r>
    </w:p>
    <w:p>
      <w:pPr>
        <w:ind w:firstLine="640" w:firstLineChars="200"/>
        <w:rPr>
          <w:szCs w:val="32"/>
        </w:rPr>
      </w:pPr>
      <w:r>
        <w:rPr>
          <w:rFonts w:hint="eastAsia"/>
          <w:szCs w:val="32"/>
        </w:rPr>
        <w:t>8. 其他商品和服务支出</w:t>
      </w:r>
      <w:r>
        <w:rPr>
          <w:szCs w:val="32"/>
        </w:rPr>
        <w:t>：</w:t>
      </w:r>
      <w:r>
        <w:rPr>
          <w:rFonts w:hint="eastAsia"/>
          <w:szCs w:val="32"/>
        </w:rPr>
        <w:t>共计3,098.00元。</w:t>
      </w:r>
    </w:p>
    <w:p>
      <w:pPr>
        <w:spacing w:line="578" w:lineRule="exact"/>
        <w:ind w:firstLine="640" w:firstLineChars="200"/>
        <w:rPr>
          <w:szCs w:val="32"/>
        </w:rPr>
      </w:pPr>
      <w:r>
        <w:rPr>
          <w:rFonts w:hint="eastAsia"/>
          <w:szCs w:val="32"/>
        </w:rPr>
        <w:t>9.办公设备</w:t>
      </w:r>
      <w:r>
        <w:rPr>
          <w:szCs w:val="32"/>
        </w:rPr>
        <w:t>购置</w:t>
      </w:r>
      <w:r>
        <w:rPr>
          <w:rFonts w:hint="eastAsia"/>
          <w:szCs w:val="32"/>
        </w:rPr>
        <w:t>：用于购置办公用台式机10台、笔记本电脑9台、交换机1台、空调4台等，共计314,500.00元。</w:t>
      </w:r>
    </w:p>
    <w:p>
      <w:pPr>
        <w:spacing w:line="578" w:lineRule="exact"/>
        <w:ind w:firstLine="640" w:firstLineChars="200"/>
        <w:rPr>
          <w:szCs w:val="32"/>
        </w:rPr>
      </w:pPr>
      <w:r>
        <w:rPr>
          <w:rFonts w:hint="eastAsia"/>
          <w:szCs w:val="32"/>
        </w:rPr>
        <w:t>（三）项目</w:t>
      </w:r>
      <w:r>
        <w:rPr>
          <w:szCs w:val="32"/>
        </w:rPr>
        <w:t>资金</w:t>
      </w:r>
      <w:r>
        <w:rPr>
          <w:rFonts w:hint="eastAsia"/>
          <w:szCs w:val="32"/>
        </w:rPr>
        <w:t>管理</w:t>
      </w:r>
      <w:r>
        <w:rPr>
          <w:szCs w:val="32"/>
        </w:rPr>
        <w:t>情况</w:t>
      </w:r>
      <w:r>
        <w:rPr>
          <w:rFonts w:hint="eastAsia"/>
          <w:szCs w:val="32"/>
        </w:rPr>
        <w:t>分析</w:t>
      </w:r>
    </w:p>
    <w:p>
      <w:pPr>
        <w:spacing w:line="578" w:lineRule="exact"/>
        <w:ind w:firstLine="640" w:firstLineChars="200"/>
        <w:rPr>
          <w:szCs w:val="32"/>
        </w:rPr>
      </w:pPr>
      <w:r>
        <w:rPr>
          <w:rFonts w:hint="eastAsia"/>
          <w:szCs w:val="32"/>
        </w:rPr>
        <w:t>1.防震</w:t>
      </w:r>
      <w:r>
        <w:rPr>
          <w:szCs w:val="32"/>
        </w:rPr>
        <w:t>减灾规划及体系</w:t>
      </w:r>
      <w:r>
        <w:rPr>
          <w:rFonts w:hint="eastAsia"/>
          <w:szCs w:val="32"/>
        </w:rPr>
        <w:t>建设</w:t>
      </w:r>
      <w:r>
        <w:rPr>
          <w:szCs w:val="32"/>
        </w:rPr>
        <w:t>项目资金</w:t>
      </w:r>
      <w:r>
        <w:rPr>
          <w:rFonts w:hint="eastAsia"/>
          <w:szCs w:val="32"/>
        </w:rPr>
        <w:t>的</w:t>
      </w:r>
      <w:r>
        <w:rPr>
          <w:szCs w:val="32"/>
        </w:rPr>
        <w:t>执行管理由财务室专人负责，</w:t>
      </w:r>
      <w:r>
        <w:rPr>
          <w:rFonts w:hint="eastAsia"/>
          <w:szCs w:val="32"/>
        </w:rPr>
        <w:t>财务室</w:t>
      </w:r>
      <w:r>
        <w:rPr>
          <w:szCs w:val="32"/>
        </w:rPr>
        <w:t>人员配备及岗位职责</w:t>
      </w:r>
      <w:r>
        <w:rPr>
          <w:rFonts w:hint="eastAsia"/>
          <w:szCs w:val="32"/>
        </w:rPr>
        <w:t>根据</w:t>
      </w:r>
      <w:r>
        <w:rPr>
          <w:szCs w:val="32"/>
        </w:rPr>
        <w:t>《海南省地震局内部财务岗位责任制》（琼震办〔2014〕19</w:t>
      </w:r>
      <w:r>
        <w:rPr>
          <w:rFonts w:hint="eastAsia"/>
          <w:szCs w:val="32"/>
        </w:rPr>
        <w:t>号</w:t>
      </w:r>
      <w:r>
        <w:rPr>
          <w:szCs w:val="32"/>
        </w:rPr>
        <w:t>）制度</w:t>
      </w:r>
      <w:r>
        <w:rPr>
          <w:rFonts w:hint="eastAsia"/>
          <w:szCs w:val="32"/>
        </w:rPr>
        <w:t>严格</w:t>
      </w:r>
      <w:r>
        <w:rPr>
          <w:szCs w:val="32"/>
        </w:rPr>
        <w:t>执行</w:t>
      </w:r>
      <w:r>
        <w:rPr>
          <w:rFonts w:hint="eastAsia"/>
          <w:szCs w:val="32"/>
        </w:rPr>
        <w:t>，切实做到分事行权、分岗设权、分级授权，岗位职责明确</w:t>
      </w:r>
      <w:r>
        <w:rPr>
          <w:rFonts w:hint="eastAsia" w:hAnsi="仿宋_GB2312" w:cs="仿宋_GB2312"/>
          <w:sz w:val="30"/>
          <w:szCs w:val="30"/>
        </w:rPr>
        <w:t>。</w:t>
      </w:r>
    </w:p>
    <w:p>
      <w:pPr>
        <w:spacing w:line="578" w:lineRule="exact"/>
        <w:ind w:firstLine="640" w:firstLineChars="200"/>
        <w:rPr>
          <w:szCs w:val="32"/>
        </w:rPr>
      </w:pPr>
      <w:r>
        <w:rPr>
          <w:rFonts w:hint="eastAsia"/>
          <w:szCs w:val="32"/>
        </w:rPr>
        <w:t>2.防震减灾规划及体系建设项目资金的</w:t>
      </w:r>
      <w:r>
        <w:rPr>
          <w:szCs w:val="32"/>
        </w:rPr>
        <w:t>支出管理</w:t>
      </w:r>
      <w:r>
        <w:rPr>
          <w:rFonts w:hint="eastAsia"/>
          <w:szCs w:val="32"/>
        </w:rPr>
        <w:t>严格</w:t>
      </w:r>
      <w:r>
        <w:rPr>
          <w:szCs w:val="32"/>
        </w:rPr>
        <w:t>按照</w:t>
      </w:r>
      <w:r>
        <w:rPr>
          <w:rFonts w:hint="eastAsia"/>
          <w:szCs w:val="32"/>
        </w:rPr>
        <w:t>相关</w:t>
      </w:r>
      <w:r>
        <w:rPr>
          <w:szCs w:val="32"/>
        </w:rPr>
        <w:t>文件及规章制度</w:t>
      </w:r>
      <w:r>
        <w:rPr>
          <w:rFonts w:hint="eastAsia"/>
          <w:szCs w:val="32"/>
        </w:rPr>
        <w:t>执行</w:t>
      </w:r>
      <w:r>
        <w:rPr>
          <w:szCs w:val="32"/>
        </w:rPr>
        <w:t>。2016年</w:t>
      </w:r>
      <w:r>
        <w:rPr>
          <w:rFonts w:hint="eastAsia"/>
          <w:szCs w:val="32"/>
        </w:rPr>
        <w:t>我局</w:t>
      </w:r>
      <w:r>
        <w:rPr>
          <w:szCs w:val="32"/>
        </w:rPr>
        <w:t>制订</w:t>
      </w:r>
      <w:r>
        <w:rPr>
          <w:rFonts w:hint="eastAsia"/>
          <w:szCs w:val="32"/>
        </w:rPr>
        <w:t>了</w:t>
      </w:r>
      <w:r>
        <w:rPr>
          <w:szCs w:val="32"/>
        </w:rPr>
        <w:t>《海南省地震局经费支出管理办法》（琼震发〔2016〕6号）</w:t>
      </w:r>
      <w:r>
        <w:rPr>
          <w:rFonts w:hint="eastAsia"/>
          <w:szCs w:val="32"/>
        </w:rPr>
        <w:t>；</w:t>
      </w:r>
      <w:r>
        <w:rPr>
          <w:szCs w:val="32"/>
        </w:rPr>
        <w:t>2017年</w:t>
      </w:r>
      <w:r>
        <w:rPr>
          <w:rFonts w:hint="eastAsia"/>
          <w:szCs w:val="32"/>
        </w:rPr>
        <w:t>我</w:t>
      </w:r>
      <w:r>
        <w:rPr>
          <w:szCs w:val="32"/>
        </w:rPr>
        <w:t>局为进一步加强财务管理，强化财务内控机制，修订完善了一些财务规章制度</w:t>
      </w:r>
      <w:r>
        <w:rPr>
          <w:rFonts w:hint="eastAsia"/>
          <w:szCs w:val="32"/>
        </w:rPr>
        <w:t>，</w:t>
      </w:r>
      <w:r>
        <w:rPr>
          <w:szCs w:val="32"/>
        </w:rPr>
        <w:t>例如</w:t>
      </w:r>
      <w:r>
        <w:rPr>
          <w:rFonts w:hint="eastAsia"/>
          <w:szCs w:val="32"/>
        </w:rPr>
        <w:t>,</w:t>
      </w:r>
      <w:r>
        <w:rPr>
          <w:szCs w:val="32"/>
        </w:rPr>
        <w:t>琼震办〔2017〕45号文规范了本局快递费、出租车票报销事宜，要求更加严格；琼震办〔2017〕40号文修订了《海南省地震局经费支出管理细则》（琼震办〔2016〕6号）中关于经济合同签署授权以及评审费、劳务费等发放的审批授权</w:t>
      </w:r>
      <w:r>
        <w:rPr>
          <w:rFonts w:hint="eastAsia"/>
          <w:szCs w:val="32"/>
        </w:rPr>
        <w:t>；2018年我局按照省财政厅以及中国地震局最新财务文件要求规定，修订了《海南省地震局差旅费实施细则》等各项财务规定。防震减灾规划及体系建设项目资金的</w:t>
      </w:r>
      <w:r>
        <w:rPr>
          <w:szCs w:val="32"/>
        </w:rPr>
        <w:t>支出严格执行以上文件政策。</w:t>
      </w:r>
    </w:p>
    <w:p>
      <w:pPr>
        <w:spacing w:line="578" w:lineRule="exact"/>
        <w:ind w:firstLine="640" w:firstLineChars="200"/>
        <w:rPr>
          <w:rFonts w:ascii="黑体" w:hAnsi="黑体" w:eastAsia="黑体" w:cs="黑体"/>
          <w:color w:val="000000"/>
        </w:rPr>
      </w:pPr>
      <w:r>
        <w:rPr>
          <w:rFonts w:hint="eastAsia" w:ascii="黑体" w:hAnsi="黑体" w:eastAsia="黑体" w:cs="黑体"/>
          <w:color w:val="000000"/>
        </w:rPr>
        <w:t>三、项目组织实施情况</w:t>
      </w:r>
    </w:p>
    <w:p>
      <w:pPr>
        <w:spacing w:line="578" w:lineRule="exact"/>
        <w:ind w:firstLine="640" w:firstLineChars="200"/>
        <w:outlineLvl w:val="0"/>
        <w:rPr>
          <w:bCs/>
          <w:color w:val="000000"/>
          <w:szCs w:val="32"/>
        </w:rPr>
      </w:pPr>
      <w:r>
        <w:rPr>
          <w:rFonts w:hint="eastAsia"/>
          <w:bCs/>
          <w:color w:val="000000"/>
          <w:szCs w:val="32"/>
        </w:rPr>
        <w:t>（一）项目组织情况分析</w:t>
      </w:r>
    </w:p>
    <w:p>
      <w:pPr>
        <w:spacing w:line="578" w:lineRule="exact"/>
        <w:ind w:firstLine="640" w:firstLineChars="200"/>
        <w:outlineLvl w:val="0"/>
        <w:rPr>
          <w:bCs/>
          <w:color w:val="000000"/>
          <w:szCs w:val="32"/>
        </w:rPr>
      </w:pPr>
      <w:r>
        <w:rPr>
          <w:rFonts w:hint="eastAsia"/>
          <w:bCs/>
          <w:color w:val="000000"/>
          <w:szCs w:val="32"/>
        </w:rPr>
        <w:t>防震减灾规划及体系建设项目2019年无</w:t>
      </w:r>
      <w:r>
        <w:rPr>
          <w:bCs/>
          <w:color w:val="000000"/>
          <w:szCs w:val="32"/>
        </w:rPr>
        <w:t>需</w:t>
      </w:r>
      <w:r>
        <w:rPr>
          <w:rFonts w:hint="eastAsia"/>
          <w:bCs/>
          <w:color w:val="000000"/>
          <w:szCs w:val="32"/>
        </w:rPr>
        <w:t>进行招投标的事项</w:t>
      </w:r>
      <w:r>
        <w:rPr>
          <w:bCs/>
          <w:color w:val="000000"/>
          <w:szCs w:val="32"/>
        </w:rPr>
        <w:t>，其余进行政府采购</w:t>
      </w:r>
      <w:r>
        <w:rPr>
          <w:rFonts w:hint="eastAsia"/>
          <w:bCs/>
          <w:color w:val="000000"/>
          <w:szCs w:val="32"/>
        </w:rPr>
        <w:t>的</w:t>
      </w:r>
      <w:r>
        <w:rPr>
          <w:bCs/>
          <w:color w:val="000000"/>
          <w:szCs w:val="32"/>
        </w:rPr>
        <w:t>项目都</w:t>
      </w:r>
      <w:r>
        <w:rPr>
          <w:rFonts w:hint="eastAsia"/>
          <w:bCs/>
          <w:color w:val="000000"/>
          <w:szCs w:val="32"/>
        </w:rPr>
        <w:t>按时</w:t>
      </w:r>
      <w:r>
        <w:rPr>
          <w:bCs/>
          <w:color w:val="000000"/>
          <w:szCs w:val="32"/>
        </w:rPr>
        <w:t>完成</w:t>
      </w:r>
      <w:r>
        <w:rPr>
          <w:rFonts w:hint="eastAsia"/>
          <w:bCs/>
          <w:color w:val="000000"/>
          <w:szCs w:val="32"/>
        </w:rPr>
        <w:t>支出，</w:t>
      </w:r>
      <w:r>
        <w:rPr>
          <w:bCs/>
          <w:color w:val="000000"/>
          <w:szCs w:val="32"/>
        </w:rPr>
        <w:t>按时完成验收，完成全年支付计划。</w:t>
      </w:r>
    </w:p>
    <w:p>
      <w:pPr>
        <w:spacing w:line="578" w:lineRule="exact"/>
        <w:ind w:firstLine="640" w:firstLineChars="200"/>
        <w:outlineLvl w:val="0"/>
        <w:rPr>
          <w:bCs/>
          <w:szCs w:val="32"/>
        </w:rPr>
      </w:pPr>
      <w:r>
        <w:rPr>
          <w:rFonts w:hint="eastAsia"/>
          <w:bCs/>
          <w:szCs w:val="32"/>
        </w:rPr>
        <w:t>（二）项目管理情况分析</w:t>
      </w:r>
    </w:p>
    <w:p>
      <w:pPr>
        <w:ind w:firstLine="640" w:firstLineChars="200"/>
        <w:rPr>
          <w:bCs/>
          <w:szCs w:val="32"/>
        </w:rPr>
      </w:pPr>
      <w:r>
        <w:rPr>
          <w:bCs/>
          <w:szCs w:val="32"/>
        </w:rPr>
        <w:t>1</w:t>
      </w:r>
      <w:r>
        <w:rPr>
          <w:rFonts w:hint="eastAsia"/>
          <w:bCs/>
          <w:szCs w:val="32"/>
        </w:rPr>
        <w:t>.</w:t>
      </w:r>
      <w:r>
        <w:rPr>
          <w:bCs/>
          <w:szCs w:val="32"/>
        </w:rPr>
        <w:t>建立防震减灾目标责任管理制度，全面落实政府防震减灾工作责任。2011年7月，海南省政府办公厅下发了《海南省市县政府防震减灾工作考核暂行办法》，建立市县防震减灾目标责任管理制度，自2011年以来，省政府已经连续</w:t>
      </w:r>
      <w:r>
        <w:rPr>
          <w:rFonts w:hint="eastAsia"/>
          <w:bCs/>
          <w:szCs w:val="32"/>
        </w:rPr>
        <w:t>9</w:t>
      </w:r>
      <w:r>
        <w:rPr>
          <w:bCs/>
          <w:szCs w:val="32"/>
        </w:rPr>
        <w:t>年对市县政府实行了防震减灾工作考核，有力推动了海南省防震减灾工作。</w:t>
      </w:r>
    </w:p>
    <w:p>
      <w:pPr>
        <w:ind w:firstLine="640" w:firstLineChars="200"/>
        <w:rPr>
          <w:bCs/>
          <w:szCs w:val="32"/>
        </w:rPr>
      </w:pPr>
      <w:r>
        <w:rPr>
          <w:bCs/>
          <w:szCs w:val="32"/>
        </w:rPr>
        <w:t>2</w:t>
      </w:r>
      <w:r>
        <w:rPr>
          <w:rFonts w:hint="eastAsia"/>
          <w:bCs/>
          <w:szCs w:val="32"/>
        </w:rPr>
        <w:t>.坚持以习近平总书记在唐山大地震</w:t>
      </w:r>
      <w:r>
        <w:rPr>
          <w:bCs/>
          <w:szCs w:val="32"/>
        </w:rPr>
        <w:t>40周年纪念讲话和中共中央、国务院《关于推进防灾减灾救灾体制机制改革的意见》提出的防灾减灾救灾“两个坚持”和“三个转变”为指导，制定和落实责任追究制度，层层压实责任，基层防震减灾进一步夯实。</w:t>
      </w:r>
    </w:p>
    <w:p>
      <w:pPr>
        <w:ind w:firstLine="640" w:firstLineChars="200"/>
        <w:rPr>
          <w:bCs/>
          <w:szCs w:val="32"/>
        </w:rPr>
      </w:pPr>
      <w:r>
        <w:rPr>
          <w:bCs/>
          <w:szCs w:val="32"/>
        </w:rPr>
        <w:t>3</w:t>
      </w:r>
      <w:r>
        <w:rPr>
          <w:rFonts w:hint="eastAsia"/>
          <w:bCs/>
          <w:szCs w:val="32"/>
        </w:rPr>
        <w:t>.为了全面落实防震减灾工作目标管理责任制，根据各市县防震减灾具体情况，有针对性地编制、印发了《</w:t>
      </w:r>
      <w:r>
        <w:rPr>
          <w:bCs/>
          <w:szCs w:val="32"/>
        </w:rPr>
        <w:t>201</w:t>
      </w:r>
      <w:r>
        <w:rPr>
          <w:rFonts w:hint="eastAsia"/>
          <w:bCs/>
          <w:szCs w:val="32"/>
        </w:rPr>
        <w:t>9</w:t>
      </w:r>
      <w:r>
        <w:rPr>
          <w:bCs/>
          <w:szCs w:val="32"/>
        </w:rPr>
        <w:t>年市县防震减灾</w:t>
      </w:r>
      <w:r>
        <w:rPr>
          <w:rFonts w:hint="eastAsia"/>
          <w:bCs/>
          <w:szCs w:val="32"/>
        </w:rPr>
        <w:t>、抗震救灾</w:t>
      </w:r>
      <w:r>
        <w:rPr>
          <w:bCs/>
          <w:szCs w:val="32"/>
        </w:rPr>
        <w:t>重点工作任务》，并指导市县制定重点工作任务分解表，明确和细化防震减灾工作目标，落实责任。</w:t>
      </w:r>
    </w:p>
    <w:p>
      <w:pPr>
        <w:spacing w:line="578" w:lineRule="exact"/>
        <w:ind w:firstLine="640" w:firstLineChars="200"/>
        <w:outlineLvl w:val="0"/>
        <w:rPr>
          <w:rFonts w:ascii="黑体" w:hAnsi="黑体" w:eastAsia="黑体" w:cs="黑体"/>
        </w:rPr>
      </w:pPr>
      <w:r>
        <w:rPr>
          <w:rFonts w:hint="eastAsia" w:ascii="黑体" w:hAnsi="黑体" w:eastAsia="黑体" w:cs="黑体"/>
        </w:rPr>
        <w:t>四、项目绩效情况</w:t>
      </w:r>
    </w:p>
    <w:p>
      <w:pPr>
        <w:spacing w:line="578" w:lineRule="exact"/>
        <w:ind w:firstLine="640" w:firstLineChars="200"/>
        <w:outlineLvl w:val="0"/>
        <w:rPr>
          <w:bCs/>
          <w:color w:val="000000"/>
        </w:rPr>
      </w:pPr>
      <w:r>
        <w:rPr>
          <w:rFonts w:hint="eastAsia"/>
          <w:bCs/>
          <w:color w:val="000000"/>
        </w:rPr>
        <w:t>（一）项目绩效目标完成情况分析</w:t>
      </w:r>
    </w:p>
    <w:p>
      <w:pPr>
        <w:spacing w:line="578" w:lineRule="exact"/>
        <w:ind w:firstLine="640" w:firstLineChars="200"/>
        <w:rPr>
          <w:bCs/>
          <w:color w:val="000000"/>
          <w:szCs w:val="32"/>
        </w:rPr>
      </w:pPr>
      <w:r>
        <w:rPr>
          <w:rFonts w:hint="eastAsia"/>
          <w:bCs/>
          <w:color w:val="000000"/>
          <w:szCs w:val="32"/>
        </w:rPr>
        <w:t>1. 项目的经济性分析</w:t>
      </w:r>
    </w:p>
    <w:p>
      <w:pPr>
        <w:spacing w:line="578" w:lineRule="exact"/>
        <w:ind w:firstLine="640" w:firstLineChars="200"/>
        <w:outlineLvl w:val="0"/>
        <w:rPr>
          <w:bCs/>
          <w:color w:val="000000"/>
          <w:szCs w:val="32"/>
        </w:rPr>
      </w:pPr>
      <w:r>
        <w:rPr>
          <w:rFonts w:hint="eastAsia"/>
          <w:bCs/>
          <w:color w:val="000000"/>
          <w:szCs w:val="32"/>
        </w:rPr>
        <w:t>（1）项目</w:t>
      </w:r>
      <w:r>
        <w:rPr>
          <w:bCs/>
          <w:color w:val="000000"/>
          <w:szCs w:val="32"/>
        </w:rPr>
        <w:t>成本（</w:t>
      </w:r>
      <w:r>
        <w:rPr>
          <w:rFonts w:hint="eastAsia"/>
          <w:bCs/>
          <w:color w:val="000000"/>
          <w:szCs w:val="32"/>
        </w:rPr>
        <w:t>预算</w:t>
      </w:r>
      <w:r>
        <w:rPr>
          <w:bCs/>
          <w:color w:val="000000"/>
          <w:szCs w:val="32"/>
        </w:rPr>
        <w:t>）</w:t>
      </w:r>
      <w:r>
        <w:rPr>
          <w:rFonts w:hint="eastAsia"/>
          <w:bCs/>
          <w:color w:val="000000"/>
          <w:szCs w:val="32"/>
        </w:rPr>
        <w:t>控制</w:t>
      </w:r>
      <w:r>
        <w:rPr>
          <w:bCs/>
          <w:color w:val="000000"/>
          <w:szCs w:val="32"/>
        </w:rPr>
        <w:t>情况</w:t>
      </w:r>
    </w:p>
    <w:p>
      <w:pPr>
        <w:ind w:firstLine="640" w:firstLineChars="200"/>
        <w:rPr>
          <w:bCs/>
          <w:color w:val="000000"/>
          <w:szCs w:val="32"/>
        </w:rPr>
      </w:pPr>
      <w:r>
        <w:rPr>
          <w:rFonts w:hint="eastAsia"/>
          <w:bCs/>
          <w:color w:val="000000"/>
          <w:szCs w:val="32"/>
        </w:rPr>
        <w:t>2019年防震减灾规划及体系建设项目总投资额814,600.00元，截至2019年12月31日，完成投资共计814,600.00元，占项目总投资额100.00%。项目成本（预算）严格按年初的项目预算执行，项目成本控制在预算内，无超预算情况。</w:t>
      </w:r>
    </w:p>
    <w:p>
      <w:pPr>
        <w:spacing w:line="578" w:lineRule="exact"/>
        <w:ind w:firstLine="640" w:firstLineChars="200"/>
        <w:outlineLvl w:val="0"/>
        <w:rPr>
          <w:szCs w:val="32"/>
        </w:rPr>
      </w:pPr>
      <w:r>
        <w:rPr>
          <w:rFonts w:hint="eastAsia"/>
          <w:szCs w:val="32"/>
        </w:rPr>
        <w:t>（2）项目</w:t>
      </w:r>
      <w:r>
        <w:rPr>
          <w:szCs w:val="32"/>
        </w:rPr>
        <w:t>成本（</w:t>
      </w:r>
      <w:r>
        <w:rPr>
          <w:rFonts w:hint="eastAsia"/>
          <w:szCs w:val="32"/>
        </w:rPr>
        <w:t>预算</w:t>
      </w:r>
      <w:r>
        <w:rPr>
          <w:szCs w:val="32"/>
        </w:rPr>
        <w:t>）</w:t>
      </w:r>
      <w:r>
        <w:rPr>
          <w:rFonts w:hint="eastAsia"/>
          <w:szCs w:val="32"/>
        </w:rPr>
        <w:t>节约</w:t>
      </w:r>
      <w:r>
        <w:rPr>
          <w:szCs w:val="32"/>
        </w:rPr>
        <w:t>情况</w:t>
      </w:r>
    </w:p>
    <w:p>
      <w:pPr>
        <w:spacing w:line="578" w:lineRule="exact"/>
        <w:ind w:firstLine="640" w:firstLineChars="200"/>
        <w:outlineLvl w:val="0"/>
        <w:rPr>
          <w:bCs/>
          <w:szCs w:val="32"/>
        </w:rPr>
      </w:pPr>
      <w:r>
        <w:rPr>
          <w:szCs w:val="32"/>
        </w:rPr>
        <w:t>201</w:t>
      </w:r>
      <w:r>
        <w:rPr>
          <w:rFonts w:hint="eastAsia"/>
          <w:szCs w:val="32"/>
        </w:rPr>
        <w:t>9年</w:t>
      </w:r>
      <w:r>
        <w:rPr>
          <w:szCs w:val="32"/>
        </w:rPr>
        <w:t>防震减灾规划及体系建设项目严格控制成本，</w:t>
      </w:r>
      <w:r>
        <w:rPr>
          <w:rFonts w:hint="eastAsia"/>
          <w:szCs w:val="32"/>
        </w:rPr>
        <w:t>在印制</w:t>
      </w:r>
      <w:r>
        <w:rPr>
          <w:szCs w:val="32"/>
        </w:rPr>
        <w:t>科普宣传手册时</w:t>
      </w:r>
      <w:r>
        <w:rPr>
          <w:rFonts w:hint="eastAsia"/>
          <w:szCs w:val="32"/>
        </w:rPr>
        <w:t>采用</w:t>
      </w:r>
      <w:r>
        <w:rPr>
          <w:szCs w:val="32"/>
        </w:rPr>
        <w:t>双面印制，减少纸张使用，节约成本；在</w:t>
      </w:r>
      <w:r>
        <w:rPr>
          <w:rFonts w:hint="eastAsia"/>
          <w:szCs w:val="32"/>
        </w:rPr>
        <w:t>调研</w:t>
      </w:r>
      <w:r>
        <w:rPr>
          <w:szCs w:val="32"/>
        </w:rPr>
        <w:t>出差时，</w:t>
      </w:r>
      <w:r>
        <w:rPr>
          <w:rFonts w:hint="eastAsia"/>
          <w:szCs w:val="32"/>
        </w:rPr>
        <w:t>尽量</w:t>
      </w:r>
      <w:r>
        <w:rPr>
          <w:szCs w:val="32"/>
        </w:rPr>
        <w:t>挑选</w:t>
      </w:r>
      <w:r>
        <w:rPr>
          <w:rFonts w:hint="eastAsia"/>
          <w:szCs w:val="32"/>
        </w:rPr>
        <w:t>性价比高</w:t>
      </w:r>
      <w:r>
        <w:rPr>
          <w:szCs w:val="32"/>
        </w:rPr>
        <w:t>的酒店进行住宿，节省开支</w:t>
      </w:r>
      <w:r>
        <w:rPr>
          <w:rFonts w:hint="eastAsia"/>
          <w:szCs w:val="32"/>
        </w:rPr>
        <w:t>；全年</w:t>
      </w:r>
      <w:r>
        <w:rPr>
          <w:szCs w:val="32"/>
        </w:rPr>
        <w:t>防震减灾项目在节约开支的情况下，完成了支出计划。</w:t>
      </w:r>
    </w:p>
    <w:p>
      <w:pPr>
        <w:tabs>
          <w:tab w:val="left" w:pos="640"/>
        </w:tabs>
        <w:spacing w:line="578" w:lineRule="exact"/>
        <w:ind w:firstLine="640" w:firstLineChars="200"/>
        <w:outlineLvl w:val="0"/>
        <w:rPr>
          <w:bCs/>
          <w:szCs w:val="32"/>
        </w:rPr>
      </w:pPr>
      <w:r>
        <w:rPr>
          <w:rFonts w:hint="eastAsia"/>
          <w:bCs/>
          <w:szCs w:val="32"/>
        </w:rPr>
        <w:t>2. 项目的效率性分析</w:t>
      </w:r>
    </w:p>
    <w:p>
      <w:pPr>
        <w:spacing w:line="578" w:lineRule="exact"/>
        <w:ind w:firstLine="640" w:firstLineChars="200"/>
        <w:rPr>
          <w:szCs w:val="32"/>
        </w:rPr>
      </w:pPr>
      <w:r>
        <w:rPr>
          <w:rFonts w:hint="eastAsia"/>
          <w:szCs w:val="32"/>
        </w:rPr>
        <w:t>（1）项目的实施进度</w:t>
      </w:r>
    </w:p>
    <w:p>
      <w:pPr>
        <w:spacing w:line="578" w:lineRule="exact"/>
        <w:ind w:firstLine="640" w:firstLineChars="200"/>
        <w:rPr>
          <w:color w:val="7030A0"/>
          <w:szCs w:val="32"/>
        </w:rPr>
      </w:pPr>
      <w:r>
        <w:rPr>
          <w:rFonts w:hint="eastAsia"/>
          <w:szCs w:val="32"/>
        </w:rPr>
        <w:t>防震减灾</w:t>
      </w:r>
      <w:r>
        <w:rPr>
          <w:szCs w:val="32"/>
        </w:rPr>
        <w:t>规划及体系建设项目</w:t>
      </w:r>
      <w:r>
        <w:rPr>
          <w:rFonts w:hint="eastAsia"/>
          <w:szCs w:val="32"/>
        </w:rPr>
        <w:t>当年</w:t>
      </w:r>
      <w:r>
        <w:rPr>
          <w:szCs w:val="32"/>
        </w:rPr>
        <w:t>执行率</w:t>
      </w:r>
      <w:r>
        <w:rPr>
          <w:rFonts w:hint="eastAsia"/>
          <w:szCs w:val="32"/>
        </w:rPr>
        <w:t>100.00%</w:t>
      </w:r>
      <w:r>
        <w:rPr>
          <w:szCs w:val="32"/>
        </w:rPr>
        <w:t>，</w:t>
      </w:r>
      <w:r>
        <w:rPr>
          <w:rFonts w:hint="eastAsia"/>
          <w:szCs w:val="32"/>
        </w:rPr>
        <w:t>项目</w:t>
      </w:r>
      <w:r>
        <w:rPr>
          <w:szCs w:val="32"/>
        </w:rPr>
        <w:t>全年指标</w:t>
      </w:r>
      <w:r>
        <w:rPr>
          <w:rFonts w:hint="eastAsia"/>
          <w:bCs/>
          <w:szCs w:val="32"/>
        </w:rPr>
        <w:t>814,600.00</w:t>
      </w:r>
      <w:r>
        <w:rPr>
          <w:rFonts w:hint="eastAsia"/>
          <w:szCs w:val="32"/>
        </w:rPr>
        <w:t>。</w:t>
      </w:r>
      <w:r>
        <w:rPr>
          <w:color w:val="7030A0"/>
          <w:szCs w:val="32"/>
        </w:rPr>
        <w:t xml:space="preserve"> </w:t>
      </w:r>
    </w:p>
    <w:p>
      <w:pPr>
        <w:spacing w:line="578" w:lineRule="exact"/>
        <w:ind w:firstLine="640" w:firstLineChars="200"/>
        <w:rPr>
          <w:szCs w:val="32"/>
          <w:highlight w:val="magenta"/>
        </w:rPr>
      </w:pPr>
      <w:r>
        <w:rPr>
          <w:rFonts w:hint="eastAsia"/>
          <w:szCs w:val="32"/>
        </w:rPr>
        <w:t>（2）项目完成质量</w:t>
      </w:r>
    </w:p>
    <w:p>
      <w:pPr>
        <w:spacing w:line="578" w:lineRule="exact"/>
        <w:ind w:firstLine="640" w:firstLineChars="200"/>
        <w:outlineLvl w:val="0"/>
        <w:rPr>
          <w:szCs w:val="32"/>
        </w:rPr>
      </w:pPr>
      <w:r>
        <w:rPr>
          <w:rFonts w:hint="eastAsia"/>
          <w:szCs w:val="32"/>
        </w:rPr>
        <w:t>我局</w:t>
      </w:r>
      <w:r>
        <w:rPr>
          <w:szCs w:val="32"/>
        </w:rPr>
        <w:t>201</w:t>
      </w:r>
      <w:r>
        <w:rPr>
          <w:rFonts w:hint="eastAsia"/>
          <w:szCs w:val="32"/>
        </w:rPr>
        <w:t>9</w:t>
      </w:r>
      <w:r>
        <w:rPr>
          <w:szCs w:val="32"/>
        </w:rPr>
        <w:t>年防震减灾规划及体系建设项目完成质量较高。</w:t>
      </w:r>
    </w:p>
    <w:p>
      <w:pPr>
        <w:spacing w:line="540" w:lineRule="exact"/>
        <w:ind w:firstLine="640" w:firstLineChars="200"/>
        <w:rPr>
          <w:rFonts w:ascii="宋体" w:hAnsi="宋体"/>
          <w:szCs w:val="32"/>
        </w:rPr>
      </w:pPr>
      <w:r>
        <w:rPr>
          <w:rFonts w:hint="eastAsia"/>
          <w:szCs w:val="32"/>
        </w:rPr>
        <w:t>通过委派专家、业务交流学者前往指导、培训相关人员，进一步增强全省乡镇防震减灾助理员、农村民居建设工匠、群测群防联络员、学校和社区防震减灾宣传管理人员的防震减灾专业技能，开展防震减灾科普教育基地、科普示范学校创建工作。2019年，全省共创建5所国家级防震减灾科普示范学校，15所省级防震减灾科普示范学校，重新认定1个国家级防震减灾科普教育基地。</w:t>
      </w:r>
      <w:r>
        <w:rPr>
          <w:rFonts w:hint="eastAsia" w:ascii="宋体" w:hAnsi="宋体"/>
          <w:szCs w:val="32"/>
        </w:rPr>
        <w:t>会同省应急管理厅、省气象局等开展综合减灾示范社区创建工作检查指导工作，审核推荐海口、三亚、儋州、万宁等4个社区申报全国综合减灾示范社区，推动防灾减灾示范县和安全发展城市建设工作。</w:t>
      </w:r>
    </w:p>
    <w:p>
      <w:pPr>
        <w:spacing w:line="540" w:lineRule="exact"/>
        <w:ind w:firstLine="640" w:firstLineChars="200"/>
        <w:rPr>
          <w:szCs w:val="32"/>
        </w:rPr>
      </w:pPr>
      <w:r>
        <w:rPr>
          <w:rFonts w:hint="eastAsia"/>
          <w:szCs w:val="32"/>
        </w:rPr>
        <w:t>海南省地震局</w:t>
      </w:r>
      <w:r>
        <w:rPr>
          <w:rFonts w:hint="eastAsia" w:ascii="宋体" w:hAnsi="宋体"/>
          <w:szCs w:val="32"/>
        </w:rPr>
        <w:t>联合海口市地震局、海南广播电视总台在海口市美苑小学、海口市滨海九小、海口市城西中学开展了３期防震减灾科普知识进校园活动；开放琼中地震台、监测中心、琼海市宏观地震观测基地等防震减灾科普教育基地，接待中小学师生参观见学，</w:t>
      </w:r>
      <w:r>
        <w:rPr>
          <w:rFonts w:hint="eastAsia"/>
          <w:szCs w:val="32"/>
        </w:rPr>
        <w:t>提升教职工和学生的地震应急避险意识、技能和防震减灾实践能力。</w:t>
      </w:r>
      <w:r>
        <w:rPr>
          <w:rFonts w:hint="eastAsia" w:ascii="宋体" w:hAnsi="宋体"/>
          <w:szCs w:val="32"/>
        </w:rPr>
        <w:t>联合省教育厅、省科协组织举办2019年全省中学生防震减灾知识大赛。全省100多所学校1万多名学生参与，海南广播电视总台少儿频道播出决赛盛况。选拔优胜队伍（三亚市代表队）参加全国决赛，获得优秀奖，我局获优秀组织奖（仅6家单位）。</w:t>
      </w:r>
      <w:r>
        <w:rPr>
          <w:rFonts w:hint="eastAsia"/>
          <w:szCs w:val="32"/>
        </w:rPr>
        <w:t>在海口东站高铁站、南港码头通过LED播放防震减灾科普宣传片，有效提升了全省社会民众防灾减灾意识和自救互救能力。</w:t>
      </w:r>
    </w:p>
    <w:p>
      <w:pPr>
        <w:spacing w:line="240" w:lineRule="atLeast"/>
        <w:ind w:firstLine="640" w:firstLineChars="200"/>
        <w:rPr>
          <w:rFonts w:ascii="宋体" w:hAnsi="宋体"/>
          <w:szCs w:val="32"/>
        </w:rPr>
      </w:pPr>
      <w:r>
        <w:rPr>
          <w:rFonts w:hint="eastAsia" w:ascii="宋体" w:hAnsi="宋体"/>
          <w:szCs w:val="32"/>
        </w:rPr>
        <w:t>市县是防震减灾工作的重要基础，是发挥政府职能、强化防震减灾社会管理和公共服务的重要方面。加强市县防震减灾指导培训，提升基层防震减灾队伍素质和水平。加强农居地震安全工程技术服务，组织专家指导协助市县举办农村建筑工匠和助理员、联络员抗震农居建设培训班8期，培训人员约900人，切实提高联络员业务素质；进一步完善全省地震群测群防网络体系建设，维护群测群防网点765个以上。</w:t>
      </w:r>
    </w:p>
    <w:p>
      <w:pPr>
        <w:spacing w:line="540" w:lineRule="exact"/>
        <w:ind w:firstLine="640" w:firstLineChars="200"/>
        <w:rPr>
          <w:szCs w:val="32"/>
        </w:rPr>
      </w:pPr>
      <w:r>
        <w:rPr>
          <w:rFonts w:hint="eastAsia"/>
          <w:szCs w:val="32"/>
        </w:rPr>
        <w:t>通过座谈会，现场调研，编写建议报告等推进市县防震减灾机构改革建设，指导市县防震减灾工作；开展洋浦经济开发区防震减灾工作调研，编写《洋浦经济开发区防震减灾工作调研情况及建议报告》，指导洋浦经济开发区防震减灾工作；选派市县政府分管领导参加中国地震局基层防震减灾能力提高培训班；举办全省防灾减灾实训演练观摩活动，各市县应急管理部门、防震减灾主管部门的负责人及相关人员、有关学校教师、学生以及社区群众代表共180余人参加实训。联合海南省委组织部、省应急管理厅举办“海南省市县地震灾害风险防治工作培训班”，各市县分管市县长、应急管理局和地震局局长共计52人参加培训，是我省地震业务培训史上首次被省委组织部纳入领导干部培训体系，有效提高市县政府领导干部的地震灾害风险防治能力。</w:t>
      </w:r>
    </w:p>
    <w:p>
      <w:pPr>
        <w:spacing w:line="578" w:lineRule="exact"/>
        <w:ind w:firstLine="640" w:firstLineChars="200"/>
        <w:outlineLvl w:val="0"/>
        <w:rPr>
          <w:bCs/>
          <w:color w:val="000000"/>
          <w:szCs w:val="32"/>
        </w:rPr>
      </w:pPr>
      <w:r>
        <w:rPr>
          <w:rFonts w:hint="eastAsia"/>
          <w:bCs/>
          <w:color w:val="000000"/>
          <w:szCs w:val="32"/>
        </w:rPr>
        <w:t>3. 项目的</w:t>
      </w:r>
      <w:r>
        <w:rPr>
          <w:rFonts w:hint="eastAsia"/>
          <w:szCs w:val="32"/>
        </w:rPr>
        <w:t>效益性分析</w:t>
      </w:r>
    </w:p>
    <w:p>
      <w:pPr>
        <w:spacing w:line="578" w:lineRule="exact"/>
        <w:ind w:firstLine="640" w:firstLineChars="200"/>
        <w:rPr>
          <w:szCs w:val="32"/>
        </w:rPr>
      </w:pPr>
      <w:r>
        <w:rPr>
          <w:rFonts w:hint="eastAsia"/>
          <w:szCs w:val="32"/>
        </w:rPr>
        <w:t>（1）项目预期目标完成程度。</w:t>
      </w:r>
    </w:p>
    <w:tbl>
      <w:tblPr>
        <w:tblStyle w:val="9"/>
        <w:tblW w:w="89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60"/>
        <w:gridCol w:w="1760"/>
        <w:gridCol w:w="1216"/>
        <w:gridCol w:w="1408"/>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1760" w:type="dxa"/>
            <w:vMerge w:val="restart"/>
            <w:noWrap/>
          </w:tcPr>
          <w:p>
            <w:pPr>
              <w:widowControl/>
              <w:spacing w:line="240" w:lineRule="atLeast"/>
              <w:jc w:val="left"/>
              <w:rPr>
                <w:rFonts w:ascii="仿宋" w:hAnsi="仿宋" w:eastAsia="仿宋" w:cs="宋体"/>
                <w:b/>
                <w:bCs/>
                <w:kern w:val="0"/>
                <w:sz w:val="22"/>
                <w:szCs w:val="22"/>
              </w:rPr>
            </w:pPr>
            <w:r>
              <w:rPr>
                <w:rFonts w:hint="eastAsia" w:ascii="仿宋" w:hAnsi="仿宋" w:eastAsia="仿宋" w:cs="宋体"/>
                <w:b/>
                <w:bCs/>
                <w:kern w:val="0"/>
                <w:sz w:val="22"/>
                <w:szCs w:val="22"/>
              </w:rPr>
              <w:t>指标名称*</w:t>
            </w:r>
          </w:p>
        </w:tc>
        <w:tc>
          <w:tcPr>
            <w:tcW w:w="1760" w:type="dxa"/>
            <w:vMerge w:val="restart"/>
            <w:noWrap/>
          </w:tcPr>
          <w:p>
            <w:pPr>
              <w:widowControl/>
              <w:spacing w:line="240" w:lineRule="atLeast"/>
              <w:jc w:val="left"/>
              <w:rPr>
                <w:rFonts w:ascii="仿宋" w:hAnsi="仿宋" w:eastAsia="仿宋" w:cs="宋体"/>
                <w:b/>
                <w:bCs/>
                <w:kern w:val="0"/>
                <w:sz w:val="22"/>
                <w:szCs w:val="22"/>
              </w:rPr>
            </w:pPr>
            <w:r>
              <w:rPr>
                <w:rFonts w:hint="eastAsia" w:ascii="仿宋" w:hAnsi="仿宋" w:eastAsia="仿宋" w:cs="宋体"/>
                <w:b/>
                <w:bCs/>
                <w:kern w:val="0"/>
                <w:sz w:val="22"/>
                <w:szCs w:val="22"/>
              </w:rPr>
              <w:t>申报目标*</w:t>
            </w:r>
          </w:p>
        </w:tc>
        <w:tc>
          <w:tcPr>
            <w:tcW w:w="5440" w:type="dxa"/>
            <w:gridSpan w:val="4"/>
            <w:noWrap/>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绩效标准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1760" w:type="dxa"/>
            <w:vMerge w:val="continue"/>
          </w:tcPr>
          <w:p>
            <w:pPr>
              <w:widowControl/>
              <w:spacing w:line="240" w:lineRule="atLeast"/>
              <w:jc w:val="left"/>
              <w:rPr>
                <w:rFonts w:ascii="仿宋" w:hAnsi="仿宋" w:eastAsia="仿宋" w:cs="宋体"/>
                <w:b/>
                <w:bCs/>
                <w:kern w:val="0"/>
                <w:sz w:val="22"/>
                <w:szCs w:val="22"/>
              </w:rPr>
            </w:pPr>
          </w:p>
        </w:tc>
        <w:tc>
          <w:tcPr>
            <w:tcW w:w="1760" w:type="dxa"/>
            <w:vMerge w:val="continue"/>
          </w:tcPr>
          <w:p>
            <w:pPr>
              <w:widowControl/>
              <w:spacing w:line="240" w:lineRule="atLeast"/>
              <w:jc w:val="left"/>
              <w:rPr>
                <w:rFonts w:ascii="仿宋" w:hAnsi="仿宋" w:eastAsia="仿宋" w:cs="宋体"/>
                <w:b/>
                <w:bCs/>
                <w:kern w:val="0"/>
                <w:sz w:val="22"/>
                <w:szCs w:val="22"/>
              </w:rPr>
            </w:pPr>
          </w:p>
        </w:tc>
        <w:tc>
          <w:tcPr>
            <w:tcW w:w="1216" w:type="dxa"/>
            <w:noWrap/>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优</w:t>
            </w:r>
          </w:p>
        </w:tc>
        <w:tc>
          <w:tcPr>
            <w:tcW w:w="1408" w:type="dxa"/>
            <w:noWrap/>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良</w:t>
            </w:r>
          </w:p>
        </w:tc>
        <w:tc>
          <w:tcPr>
            <w:tcW w:w="1408" w:type="dxa"/>
            <w:noWrap/>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中</w:t>
            </w:r>
          </w:p>
        </w:tc>
        <w:tc>
          <w:tcPr>
            <w:tcW w:w="1408" w:type="dxa"/>
            <w:noWrap/>
          </w:tcPr>
          <w:p>
            <w:pPr>
              <w:widowControl/>
              <w:spacing w:line="240" w:lineRule="atLeast"/>
              <w:jc w:val="center"/>
              <w:rPr>
                <w:rFonts w:ascii="仿宋" w:hAnsi="仿宋" w:eastAsia="仿宋" w:cs="宋体"/>
                <w:b/>
                <w:bCs/>
                <w:kern w:val="0"/>
                <w:sz w:val="22"/>
                <w:szCs w:val="22"/>
              </w:rPr>
            </w:pPr>
            <w:r>
              <w:rPr>
                <w:rFonts w:hint="eastAsia" w:ascii="仿宋" w:hAnsi="仿宋" w:eastAsia="仿宋" w:cs="宋体"/>
                <w:b/>
                <w:bCs/>
                <w:kern w:val="0"/>
                <w:sz w:val="22"/>
                <w:szCs w:val="22"/>
              </w:rPr>
              <w:t>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trPr>
        <w:tc>
          <w:tcPr>
            <w:tcW w:w="1760" w:type="dxa"/>
            <w:noWrap/>
          </w:tcPr>
          <w:p>
            <w:pPr>
              <w:widowControl/>
              <w:spacing w:line="240" w:lineRule="atLeast"/>
              <w:jc w:val="left"/>
              <w:rPr>
                <w:rFonts w:ascii="仿宋" w:hAnsi="仿宋" w:eastAsia="仿宋" w:cs="宋体"/>
                <w:b/>
                <w:bCs/>
                <w:kern w:val="0"/>
                <w:sz w:val="22"/>
                <w:szCs w:val="22"/>
              </w:rPr>
            </w:pPr>
            <w:r>
              <w:rPr>
                <w:rFonts w:hint="eastAsia" w:ascii="仿宋" w:hAnsi="仿宋" w:eastAsia="仿宋" w:cs="宋体"/>
                <w:b/>
                <w:bCs/>
                <w:kern w:val="0"/>
                <w:sz w:val="22"/>
                <w:szCs w:val="22"/>
              </w:rPr>
              <w:t>产出指标</w:t>
            </w:r>
          </w:p>
        </w:tc>
        <w:tc>
          <w:tcPr>
            <w:tcW w:w="1760" w:type="dxa"/>
          </w:tcPr>
          <w:p>
            <w:pPr>
              <w:widowControl/>
              <w:spacing w:line="240" w:lineRule="atLeast"/>
              <w:jc w:val="left"/>
              <w:rPr>
                <w:rFonts w:ascii="仿宋" w:hAnsi="仿宋" w:eastAsia="仿宋" w:cs="宋体"/>
                <w:kern w:val="0"/>
                <w:sz w:val="20"/>
                <w:szCs w:val="20"/>
              </w:rPr>
            </w:pPr>
          </w:p>
        </w:tc>
        <w:tc>
          <w:tcPr>
            <w:tcW w:w="1216" w:type="dxa"/>
            <w:noWrap/>
          </w:tcPr>
          <w:p>
            <w:pPr>
              <w:widowControl/>
              <w:spacing w:line="240" w:lineRule="atLeast"/>
              <w:jc w:val="left"/>
              <w:rPr>
                <w:rFonts w:ascii="仿宋" w:hAnsi="仿宋" w:eastAsia="仿宋" w:cs="宋体"/>
                <w:kern w:val="0"/>
                <w:sz w:val="20"/>
                <w:szCs w:val="20"/>
              </w:rPr>
            </w:pPr>
          </w:p>
        </w:tc>
        <w:tc>
          <w:tcPr>
            <w:tcW w:w="1408" w:type="dxa"/>
            <w:noWrap/>
          </w:tcPr>
          <w:p>
            <w:pPr>
              <w:widowControl/>
              <w:spacing w:line="240" w:lineRule="atLeast"/>
              <w:jc w:val="left"/>
              <w:rPr>
                <w:rFonts w:ascii="仿宋" w:hAnsi="仿宋" w:eastAsia="仿宋" w:cs="宋体"/>
                <w:kern w:val="0"/>
                <w:sz w:val="20"/>
                <w:szCs w:val="20"/>
              </w:rPr>
            </w:pPr>
          </w:p>
        </w:tc>
        <w:tc>
          <w:tcPr>
            <w:tcW w:w="1408" w:type="dxa"/>
            <w:noWrap/>
          </w:tcPr>
          <w:p>
            <w:pPr>
              <w:widowControl/>
              <w:spacing w:line="240" w:lineRule="atLeast"/>
              <w:jc w:val="left"/>
              <w:rPr>
                <w:rFonts w:ascii="仿宋" w:hAnsi="仿宋" w:eastAsia="仿宋" w:cs="宋体"/>
                <w:kern w:val="0"/>
                <w:sz w:val="20"/>
                <w:szCs w:val="20"/>
              </w:rPr>
            </w:pPr>
          </w:p>
        </w:tc>
        <w:tc>
          <w:tcPr>
            <w:tcW w:w="1408" w:type="dxa"/>
            <w:noWrap/>
          </w:tcPr>
          <w:p>
            <w:pPr>
              <w:widowControl/>
              <w:spacing w:line="240" w:lineRule="atLeast"/>
              <w:jc w:val="left"/>
              <w:rPr>
                <w:rFonts w:ascii="仿宋" w:hAnsi="仿宋" w:eastAsia="仿宋" w:cs="宋体"/>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到省内外开展防震减灾工作调研批次</w:t>
            </w:r>
          </w:p>
        </w:tc>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4批次以上</w:t>
            </w:r>
          </w:p>
        </w:tc>
        <w:tc>
          <w:tcPr>
            <w:tcW w:w="1216"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4以上</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3-4</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2-3</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2以下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0" w:hRule="atLeast"/>
        </w:trPr>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对全省进行防震减灾科普宣传人次</w:t>
            </w:r>
          </w:p>
        </w:tc>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达到10万人次以上</w:t>
            </w:r>
          </w:p>
        </w:tc>
        <w:tc>
          <w:tcPr>
            <w:tcW w:w="1216"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10万以上</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8-10万</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5-7万</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5万以下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5" w:hRule="atLeast"/>
        </w:trPr>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维护群测群防网</w:t>
            </w:r>
          </w:p>
        </w:tc>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765个</w:t>
            </w:r>
          </w:p>
        </w:tc>
        <w:tc>
          <w:tcPr>
            <w:tcW w:w="1216"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700个以上</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650-700个</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600-650个</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550-600个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trPr>
        <w:tc>
          <w:tcPr>
            <w:tcW w:w="1760" w:type="dxa"/>
          </w:tcPr>
          <w:p>
            <w:pPr>
              <w:widowControl/>
              <w:spacing w:line="240" w:lineRule="atLeast"/>
              <w:jc w:val="left"/>
              <w:rPr>
                <w:rFonts w:ascii="仿宋" w:hAnsi="仿宋" w:eastAsia="仿宋" w:cs="宋体"/>
                <w:b/>
                <w:bCs/>
                <w:kern w:val="0"/>
                <w:sz w:val="22"/>
                <w:szCs w:val="22"/>
              </w:rPr>
            </w:pPr>
            <w:r>
              <w:rPr>
                <w:rFonts w:hint="eastAsia" w:ascii="仿宋" w:hAnsi="仿宋" w:eastAsia="仿宋" w:cs="宋体"/>
                <w:b/>
                <w:bCs/>
                <w:kern w:val="0"/>
                <w:sz w:val="22"/>
                <w:szCs w:val="22"/>
              </w:rPr>
              <w:t>成效指标</w:t>
            </w:r>
          </w:p>
        </w:tc>
        <w:tc>
          <w:tcPr>
            <w:tcW w:w="1760" w:type="dxa"/>
          </w:tcPr>
          <w:p>
            <w:pPr>
              <w:widowControl/>
              <w:spacing w:line="240" w:lineRule="atLeast"/>
              <w:jc w:val="left"/>
              <w:rPr>
                <w:rFonts w:ascii="仿宋" w:hAnsi="仿宋" w:eastAsia="仿宋" w:cs="宋体"/>
                <w:kern w:val="0"/>
                <w:sz w:val="20"/>
                <w:szCs w:val="20"/>
              </w:rPr>
            </w:pPr>
          </w:p>
        </w:tc>
        <w:tc>
          <w:tcPr>
            <w:tcW w:w="1216" w:type="dxa"/>
            <w:noWrap/>
          </w:tcPr>
          <w:p>
            <w:pPr>
              <w:widowControl/>
              <w:spacing w:line="240" w:lineRule="atLeast"/>
              <w:jc w:val="left"/>
              <w:rPr>
                <w:rFonts w:ascii="仿宋" w:hAnsi="仿宋" w:eastAsia="仿宋" w:cs="宋体"/>
                <w:kern w:val="0"/>
                <w:sz w:val="20"/>
                <w:szCs w:val="20"/>
              </w:rPr>
            </w:pPr>
          </w:p>
        </w:tc>
        <w:tc>
          <w:tcPr>
            <w:tcW w:w="1408" w:type="dxa"/>
            <w:noWrap/>
          </w:tcPr>
          <w:p>
            <w:pPr>
              <w:widowControl/>
              <w:spacing w:line="240" w:lineRule="atLeast"/>
              <w:jc w:val="left"/>
              <w:rPr>
                <w:rFonts w:ascii="仿宋" w:hAnsi="仿宋" w:eastAsia="仿宋" w:cs="宋体"/>
                <w:kern w:val="0"/>
                <w:sz w:val="20"/>
                <w:szCs w:val="20"/>
              </w:rPr>
            </w:pPr>
          </w:p>
        </w:tc>
        <w:tc>
          <w:tcPr>
            <w:tcW w:w="1408" w:type="dxa"/>
            <w:noWrap/>
          </w:tcPr>
          <w:p>
            <w:pPr>
              <w:widowControl/>
              <w:spacing w:line="240" w:lineRule="atLeast"/>
              <w:jc w:val="left"/>
              <w:rPr>
                <w:rFonts w:ascii="仿宋" w:hAnsi="仿宋" w:eastAsia="仿宋" w:cs="宋体"/>
                <w:kern w:val="0"/>
                <w:sz w:val="20"/>
                <w:szCs w:val="20"/>
              </w:rPr>
            </w:pPr>
          </w:p>
        </w:tc>
        <w:tc>
          <w:tcPr>
            <w:tcW w:w="1408" w:type="dxa"/>
            <w:noWrap/>
          </w:tcPr>
          <w:p>
            <w:pPr>
              <w:widowControl/>
              <w:spacing w:line="240" w:lineRule="atLeast"/>
              <w:jc w:val="left"/>
              <w:rPr>
                <w:rFonts w:ascii="仿宋" w:hAnsi="仿宋" w:eastAsia="仿宋" w:cs="宋体"/>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0" w:hRule="atLeast"/>
        </w:trPr>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各市县防震减灾宣传普及人数</w:t>
            </w:r>
          </w:p>
        </w:tc>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每个市县普及人数至少5千人以上</w:t>
            </w:r>
          </w:p>
        </w:tc>
        <w:tc>
          <w:tcPr>
            <w:tcW w:w="1216"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5千以上</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3-4千</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2-3千</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2千以下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4" w:hRule="atLeast"/>
        </w:trPr>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每批调研人数不能太多</w:t>
            </w:r>
          </w:p>
        </w:tc>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每批调研人数不超过4人</w:t>
            </w:r>
          </w:p>
        </w:tc>
        <w:tc>
          <w:tcPr>
            <w:tcW w:w="1216"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2人</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3人</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3-4人</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超过4人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7" w:hRule="atLeast"/>
        </w:trPr>
        <w:tc>
          <w:tcPr>
            <w:tcW w:w="1760" w:type="dxa"/>
          </w:tcPr>
          <w:p>
            <w:pPr>
              <w:widowControl/>
              <w:spacing w:after="240" w:line="240" w:lineRule="atLeast"/>
              <w:jc w:val="left"/>
              <w:rPr>
                <w:rFonts w:ascii="仿宋" w:hAnsi="仿宋" w:eastAsia="仿宋" w:cs="宋体"/>
                <w:kern w:val="0"/>
                <w:sz w:val="20"/>
                <w:szCs w:val="20"/>
              </w:rPr>
            </w:pPr>
            <w:r>
              <w:rPr>
                <w:rFonts w:hint="eastAsia" w:ascii="仿宋" w:hAnsi="仿宋" w:eastAsia="仿宋" w:cs="宋体"/>
                <w:kern w:val="0"/>
                <w:sz w:val="20"/>
                <w:szCs w:val="20"/>
              </w:rPr>
              <w:t>全省社会公众防震减灾意识和自救互救能力普遍提高</w:t>
            </w:r>
          </w:p>
        </w:tc>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通过宣传，公众防震减灾意识普遍提高</w:t>
            </w:r>
          </w:p>
        </w:tc>
        <w:tc>
          <w:tcPr>
            <w:tcW w:w="1216"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普遍提高</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较普遍提高</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一般提高</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不提高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1" w:hRule="atLeast"/>
        </w:trPr>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提高我省防震减灾工作</w:t>
            </w:r>
          </w:p>
        </w:tc>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通过调研，促进我省防震减灾工作发展</w:t>
            </w:r>
          </w:p>
        </w:tc>
        <w:tc>
          <w:tcPr>
            <w:tcW w:w="1216"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明显</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较明显</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一般</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不明显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网络正常运转天数</w:t>
            </w:r>
          </w:p>
        </w:tc>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365天</w:t>
            </w:r>
          </w:p>
        </w:tc>
        <w:tc>
          <w:tcPr>
            <w:tcW w:w="1216"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350天以上</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330-350天</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310-330天</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310天以下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trPr>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宣传效果满意度（问卷调查）</w:t>
            </w:r>
          </w:p>
        </w:tc>
        <w:tc>
          <w:tcPr>
            <w:tcW w:w="1760" w:type="dxa"/>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95%以上</w:t>
            </w:r>
          </w:p>
        </w:tc>
        <w:tc>
          <w:tcPr>
            <w:tcW w:w="1216"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90%</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80-90%</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70-80%</w:t>
            </w:r>
          </w:p>
        </w:tc>
        <w:tc>
          <w:tcPr>
            <w:tcW w:w="1408" w:type="dxa"/>
            <w:noWrap/>
          </w:tcPr>
          <w:p>
            <w:pPr>
              <w:widowControl/>
              <w:spacing w:line="240" w:lineRule="atLeast"/>
              <w:jc w:val="left"/>
              <w:rPr>
                <w:rFonts w:ascii="仿宋" w:hAnsi="仿宋" w:eastAsia="仿宋" w:cs="宋体"/>
                <w:kern w:val="0"/>
                <w:sz w:val="20"/>
                <w:szCs w:val="20"/>
              </w:rPr>
            </w:pPr>
            <w:r>
              <w:rPr>
                <w:rFonts w:hint="eastAsia" w:ascii="仿宋" w:hAnsi="仿宋" w:eastAsia="仿宋" w:cs="宋体"/>
                <w:kern w:val="0"/>
                <w:sz w:val="20"/>
                <w:szCs w:val="20"/>
              </w:rPr>
              <w:t xml:space="preserve"> 70%以下</w:t>
            </w:r>
          </w:p>
        </w:tc>
      </w:tr>
    </w:tbl>
    <w:p>
      <w:pPr>
        <w:spacing w:line="240" w:lineRule="atLeast"/>
        <w:ind w:firstLine="640" w:firstLineChars="200"/>
        <w:rPr>
          <w:rFonts w:hAnsi="仿宋"/>
          <w:szCs w:val="32"/>
        </w:rPr>
      </w:pPr>
      <w:r>
        <w:rPr>
          <w:rFonts w:hint="eastAsia" w:hAnsi="仿宋"/>
          <w:szCs w:val="32"/>
        </w:rPr>
        <w:t>产出指标1：2019年，我局开展省内外调研工作4批次以上，覆盖海口市、三亚市、陵水市、洋浦经济开发区等。</w:t>
      </w:r>
    </w:p>
    <w:p>
      <w:pPr>
        <w:spacing w:line="240" w:lineRule="atLeast"/>
        <w:ind w:firstLine="640" w:firstLineChars="200"/>
        <w:rPr>
          <w:rFonts w:hAnsi="仿宋"/>
          <w:szCs w:val="32"/>
        </w:rPr>
      </w:pPr>
      <w:r>
        <w:rPr>
          <w:rFonts w:hint="eastAsia" w:hAnsi="仿宋"/>
          <w:szCs w:val="32"/>
        </w:rPr>
        <w:t>产出指标2：积极开展了地震科普知识、防震减灾法律法规、建设工程抗震设防和农村民居地震安全工程等宣传教育活动，对全省进行防震减灾科普宣传人次达到20万人次以上。服务对象满意度高。</w:t>
      </w:r>
    </w:p>
    <w:p>
      <w:pPr>
        <w:spacing w:line="240" w:lineRule="atLeast"/>
        <w:ind w:firstLine="640" w:firstLineChars="200"/>
        <w:rPr>
          <w:rFonts w:hAnsi="仿宋"/>
          <w:szCs w:val="32"/>
        </w:rPr>
      </w:pPr>
      <w:r>
        <w:rPr>
          <w:rFonts w:hint="eastAsia" w:hAnsi="仿宋"/>
          <w:szCs w:val="32"/>
        </w:rPr>
        <w:t>产出指标3：加强农居地震安全工程技术服务，组织专家指导协助市县举办农村建筑工匠和助理员、联络员抗震农居建设培训班8期，培训人员约900人，培训覆盖所有地级市和70%的县（市），切实提高联络员业务素质；进一步完善全省地震群测群防网络体系建设，维护群测群防网765个以上。</w:t>
      </w:r>
    </w:p>
    <w:p>
      <w:pPr>
        <w:spacing w:line="540" w:lineRule="exact"/>
        <w:ind w:firstLine="640" w:firstLineChars="200"/>
        <w:rPr>
          <w:rFonts w:hAnsi="仿宋"/>
          <w:color w:val="7030A0"/>
          <w:szCs w:val="32"/>
        </w:rPr>
      </w:pPr>
      <w:r>
        <w:rPr>
          <w:rFonts w:hint="eastAsia" w:hAnsi="仿宋"/>
          <w:szCs w:val="32"/>
        </w:rPr>
        <w:t>产出指标4：海南省地震局组织科普技术人员加大防震减灾科普作品力度，组织</w:t>
      </w:r>
      <w:r>
        <w:rPr>
          <w:rFonts w:hint="eastAsia" w:ascii="宋体" w:hAnsi="宋体"/>
          <w:szCs w:val="32"/>
        </w:rPr>
        <w:t>创作出版《地震灾害防治实务手册》、《地震灾难自救互救指南》、《海南农居低层框架结构抗震设防技术指南》3本科普书籍；创作《地震安全隐患——不牢装饰》、《地震安全隐患——易倒家具》2部科普宣传短片，丰富科普宣传产品。组织科普作品参加全国防震减灾科普作品大赛，</w:t>
      </w:r>
      <w:r>
        <w:rPr>
          <w:rFonts w:ascii="宋体" w:hAnsi="宋体"/>
          <w:szCs w:val="32"/>
        </w:rPr>
        <w:t>图书作品</w:t>
      </w:r>
      <w:r>
        <w:rPr>
          <w:rFonts w:hint="eastAsia" w:ascii="宋体" w:hAnsi="宋体"/>
          <w:szCs w:val="32"/>
        </w:rPr>
        <w:t>（胡久常）</w:t>
      </w:r>
      <w:r>
        <w:rPr>
          <w:rFonts w:ascii="宋体" w:hAnsi="宋体"/>
          <w:szCs w:val="32"/>
        </w:rPr>
        <w:t>获得优秀作品奖</w:t>
      </w:r>
      <w:r>
        <w:rPr>
          <w:rFonts w:hint="eastAsia" w:ascii="宋体" w:hAnsi="宋体"/>
          <w:szCs w:val="32"/>
        </w:rPr>
        <w:t>。</w:t>
      </w:r>
    </w:p>
    <w:p>
      <w:pPr>
        <w:numPr>
          <w:ilvl w:val="0"/>
          <w:numId w:val="1"/>
        </w:numPr>
        <w:spacing w:line="578" w:lineRule="exact"/>
        <w:ind w:firstLine="640" w:firstLineChars="200"/>
        <w:outlineLvl w:val="0"/>
        <w:rPr>
          <w:szCs w:val="32"/>
        </w:rPr>
      </w:pPr>
      <w:r>
        <w:rPr>
          <w:rFonts w:hint="eastAsia"/>
          <w:szCs w:val="32"/>
        </w:rPr>
        <w:t>项目实施对经济和社会的影响。</w:t>
      </w:r>
    </w:p>
    <w:p>
      <w:pPr>
        <w:spacing w:line="560" w:lineRule="exact"/>
        <w:ind w:firstLine="640" w:firstLineChars="200"/>
        <w:rPr>
          <w:rFonts w:hAnsi="仿宋_GB2312" w:cs="仿宋_GB2312"/>
          <w:szCs w:val="32"/>
        </w:rPr>
      </w:pPr>
      <w:r>
        <w:rPr>
          <w:rFonts w:hint="eastAsia" w:hAnsi="仿宋_GB2312" w:cs="仿宋_GB2312"/>
          <w:szCs w:val="32"/>
        </w:rPr>
        <w:t>做好防震减灾工作，事关人民群众生命财产安全，事关社会的和谐与稳定，是一项长期而艰巨的任务。通过宣传教育和培训，较好地提高了社会民众的防震减灾意识和自救互救能力，为社会营造了依法开展防震减灾的氛围；不断加强市县防震减灾指导培训，提升基层防震减灾队伍素质和水平。地震队伍不断充实，经费保障有力，地震监测能力不断提升，震灾综合防御能力明显提高，地震应急救援能力得到加强，地震应急保障措施逐渐完善，基层防震减灾队伍素质和水平不断得到提升。</w:t>
      </w:r>
    </w:p>
    <w:p>
      <w:pPr>
        <w:spacing w:line="560" w:lineRule="exact"/>
        <w:ind w:firstLine="640" w:firstLineChars="200"/>
        <w:rPr>
          <w:rFonts w:hAnsi="仿宋_GB2312" w:cs="仿宋_GB2312"/>
          <w:szCs w:val="32"/>
        </w:rPr>
      </w:pPr>
      <w:r>
        <w:rPr>
          <w:rFonts w:hint="eastAsia" w:hAnsi="仿宋_GB2312" w:cs="仿宋_GB2312"/>
          <w:szCs w:val="32"/>
        </w:rPr>
        <w:t>2019年，海南省地震局通过加强农居地震安全工程技术服务，进行农村建筑工匠和助理员、联络员抗震农居建设技术培训，完善省农村民居地震安全技术服务网站，开展抗震农居宣传教育等措施继续开展农村民居地震安全推广工作。与海南大学联合编制出版《海南省农村民居低层房屋抗震设防技术指南》（图册），为地震安全农村民居建设提供技术支撑。</w:t>
      </w:r>
    </w:p>
    <w:p>
      <w:pPr>
        <w:spacing w:line="540" w:lineRule="exact"/>
        <w:ind w:firstLine="640" w:firstLineChars="200"/>
        <w:rPr>
          <w:rFonts w:hAnsi="仿宋_GB2312" w:cs="仿宋_GB2312"/>
          <w:szCs w:val="32"/>
        </w:rPr>
      </w:pPr>
      <w:r>
        <w:rPr>
          <w:rFonts w:hint="eastAsia"/>
          <w:szCs w:val="32"/>
        </w:rPr>
        <w:t>2019年，全省共创建5所国家级防震减灾科普示范学校，15所省级防震减灾科普示范学校，重新认定1个国家级防震减灾科普教育基地。</w:t>
      </w:r>
      <w:r>
        <w:rPr>
          <w:rFonts w:hint="eastAsia" w:ascii="宋体" w:hAnsi="宋体"/>
          <w:szCs w:val="32"/>
        </w:rPr>
        <w:t>会同省应急管理厅、省气象局等开展综合减灾示范社区创建工作检查指导工作，审核推荐海口、三亚、儋州、万宁等4个社区申报全国综合减灾示范社区，推动防灾减灾示范县和安全发展城市建设工作。</w:t>
      </w:r>
      <w:r>
        <w:rPr>
          <w:rFonts w:hint="eastAsia" w:hAnsi="仿宋_GB2312" w:cs="仿宋_GB2312"/>
          <w:szCs w:val="32"/>
        </w:rPr>
        <w:t>通过</w:t>
      </w:r>
      <w:r>
        <w:rPr>
          <w:rFonts w:hint="eastAsia"/>
          <w:szCs w:val="32"/>
        </w:rPr>
        <w:t>举办全省中学生防震减灾科普知识大赛、在高铁站、码头播放防震减灾科普宣传片等手段，</w:t>
      </w:r>
      <w:r>
        <w:rPr>
          <w:rFonts w:hint="eastAsia" w:hAnsi="仿宋_GB2312" w:cs="仿宋_GB2312"/>
          <w:szCs w:val="32"/>
        </w:rPr>
        <w:t>不断增强了全民自然灾害防治意识、素质和能力。</w:t>
      </w:r>
    </w:p>
    <w:p>
      <w:pPr>
        <w:spacing w:line="578" w:lineRule="exact"/>
        <w:ind w:firstLine="640" w:firstLineChars="200"/>
        <w:outlineLvl w:val="0"/>
        <w:rPr>
          <w:bCs/>
          <w:szCs w:val="32"/>
        </w:rPr>
      </w:pPr>
      <w:r>
        <w:rPr>
          <w:rFonts w:hint="eastAsia"/>
          <w:bCs/>
          <w:szCs w:val="32"/>
        </w:rPr>
        <w:t>4. 项目的可持续性分析</w:t>
      </w:r>
    </w:p>
    <w:p>
      <w:pPr>
        <w:spacing w:line="540" w:lineRule="exact"/>
        <w:ind w:firstLine="640" w:firstLineChars="200"/>
        <w:rPr>
          <w:szCs w:val="32"/>
        </w:rPr>
      </w:pPr>
      <w:r>
        <w:rPr>
          <w:rFonts w:hint="eastAsia"/>
          <w:szCs w:val="32"/>
        </w:rPr>
        <w:t>结合中国地震局“弘扬防震减灾行业精神，履职尽责、干事创业”宣传教育年活动，大力弘扬“开拓创新、求真务实、攻坚克难、坚守奉献”的防震减灾行业精神。通过深入挖掘行业文化精神内涵、打造文化阵地，创建海南特色的文化活动等方式，进一步加强精神文明工作，营造了和谐稳定、充满活力的工作局面。</w:t>
      </w:r>
    </w:p>
    <w:p>
      <w:pPr>
        <w:spacing w:line="540" w:lineRule="exact"/>
        <w:ind w:firstLine="640" w:firstLineChars="200"/>
        <w:rPr>
          <w:szCs w:val="32"/>
        </w:rPr>
      </w:pPr>
      <w:r>
        <w:rPr>
          <w:rFonts w:hint="eastAsia"/>
          <w:szCs w:val="32"/>
        </w:rPr>
        <w:t>进一步发挥地震科普馆、防震减灾示范社区、科普示范学校、电视科普栏目等防震减灾宣传教育长效机制作用，深入开展防震减灾宣传教育。继续开展地震科普“六进”活动，深入学校、医院、社区、企业等人员密集场所持续开展防震减灾宣传活动，利用《海南地震》、《防震减灾科普》、《解读防震减灾》等微信、微博、博客和《防震减灾数字科普馆》平台，向社会及时提供海南地震速报和防震减灾科普信息服务，进一步提高全社会抗御地震灾害和自救互救能力。推动防震减灾科普基地（场馆）建设。引导更多社会资源参与防震减灾宣传教育，提高社会宣教的覆盖面。</w:t>
      </w:r>
    </w:p>
    <w:p>
      <w:pPr>
        <w:numPr>
          <w:ilvl w:val="0"/>
          <w:numId w:val="2"/>
        </w:numPr>
        <w:tabs>
          <w:tab w:val="left" w:pos="878"/>
        </w:tabs>
        <w:spacing w:line="578" w:lineRule="exact"/>
        <w:ind w:firstLine="640" w:firstLineChars="200"/>
        <w:outlineLvl w:val="0"/>
        <w:rPr>
          <w:bCs/>
          <w:color w:val="000000"/>
          <w:szCs w:val="32"/>
        </w:rPr>
      </w:pPr>
      <w:r>
        <w:rPr>
          <w:rFonts w:hint="eastAsia"/>
          <w:bCs/>
          <w:color w:val="000000"/>
          <w:szCs w:val="32"/>
        </w:rPr>
        <w:t>项目绩效目标未完成原因分析</w:t>
      </w:r>
    </w:p>
    <w:p>
      <w:pPr>
        <w:tabs>
          <w:tab w:val="left" w:pos="878"/>
        </w:tabs>
        <w:spacing w:line="578" w:lineRule="exact"/>
        <w:ind w:firstLine="660"/>
        <w:outlineLvl w:val="0"/>
        <w:rPr>
          <w:color w:val="000000"/>
        </w:rPr>
      </w:pPr>
      <w:r>
        <w:rPr>
          <w:rFonts w:hint="eastAsia"/>
          <w:color w:val="000000"/>
        </w:rPr>
        <w:t>本年绩效</w:t>
      </w:r>
      <w:r>
        <w:rPr>
          <w:color w:val="000000"/>
        </w:rPr>
        <w:t>目标均达标完成。</w:t>
      </w:r>
    </w:p>
    <w:p>
      <w:pPr>
        <w:tabs>
          <w:tab w:val="left" w:pos="878"/>
        </w:tabs>
        <w:spacing w:line="578" w:lineRule="exact"/>
        <w:ind w:firstLine="660"/>
        <w:outlineLvl w:val="0"/>
        <w:rPr>
          <w:color w:val="000000"/>
        </w:rPr>
      </w:pPr>
    </w:p>
    <w:p>
      <w:pPr>
        <w:spacing w:line="578" w:lineRule="exact"/>
        <w:ind w:firstLine="640" w:firstLineChars="200"/>
        <w:outlineLvl w:val="0"/>
        <w:rPr>
          <w:rFonts w:ascii="黑体" w:hAnsi="黑体" w:eastAsia="黑体" w:cs="黑体"/>
          <w:szCs w:val="32"/>
        </w:rPr>
      </w:pPr>
      <w:r>
        <w:rPr>
          <w:rFonts w:hint="eastAsia" w:ascii="黑体" w:hAnsi="黑体" w:eastAsia="黑体" w:cs="黑体"/>
          <w:szCs w:val="32"/>
        </w:rPr>
        <w:t>五、综合评价情况及评价结论</w:t>
      </w:r>
    </w:p>
    <w:p>
      <w:pPr>
        <w:spacing w:line="578" w:lineRule="exact"/>
        <w:ind w:firstLine="640" w:firstLineChars="200"/>
        <w:outlineLvl w:val="0"/>
        <w:rPr>
          <w:bCs/>
          <w:szCs w:val="32"/>
        </w:rPr>
      </w:pPr>
      <w:r>
        <w:rPr>
          <w:rFonts w:hint="eastAsia"/>
          <w:bCs/>
          <w:szCs w:val="32"/>
        </w:rPr>
        <w:t>项目评价工作组按照项目基本性质、项目绩效目标、管理制度、组织管理情况、项目完成情况、社会经济效益等情况对项目进行综合评价，对各项指标进行综合打分，项目综合评价为优秀，具体见表所示。</w:t>
      </w:r>
    </w:p>
    <w:p>
      <w:pPr>
        <w:spacing w:line="578" w:lineRule="exact"/>
        <w:ind w:firstLine="640" w:firstLineChars="200"/>
        <w:outlineLvl w:val="0"/>
        <w:rPr>
          <w:bCs/>
          <w:szCs w:val="32"/>
        </w:rPr>
      </w:pPr>
    </w:p>
    <w:tbl>
      <w:tblPr>
        <w:tblStyle w:val="8"/>
        <w:tblW w:w="8931" w:type="dxa"/>
        <w:tblInd w:w="108" w:type="dxa"/>
        <w:tblLayout w:type="fixed"/>
        <w:tblCellMar>
          <w:top w:w="0" w:type="dxa"/>
          <w:left w:w="108" w:type="dxa"/>
          <w:bottom w:w="0" w:type="dxa"/>
          <w:right w:w="108" w:type="dxa"/>
        </w:tblCellMar>
      </w:tblPr>
      <w:tblGrid>
        <w:gridCol w:w="1292"/>
        <w:gridCol w:w="998"/>
        <w:gridCol w:w="1435"/>
        <w:gridCol w:w="890"/>
        <w:gridCol w:w="1922"/>
        <w:gridCol w:w="847"/>
        <w:gridCol w:w="1547"/>
      </w:tblGrid>
      <w:tr>
        <w:tblPrEx>
          <w:tblCellMar>
            <w:top w:w="0" w:type="dxa"/>
            <w:left w:w="108" w:type="dxa"/>
            <w:bottom w:w="0" w:type="dxa"/>
            <w:right w:w="108" w:type="dxa"/>
          </w:tblCellMar>
        </w:tblPrEx>
        <w:trPr>
          <w:trHeight w:val="284" w:hRule="atLeast"/>
        </w:trPr>
        <w:tc>
          <w:tcPr>
            <w:tcW w:w="1292"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一级指标</w:t>
            </w:r>
          </w:p>
        </w:tc>
        <w:tc>
          <w:tcPr>
            <w:tcW w:w="998" w:type="dxa"/>
            <w:tcBorders>
              <w:top w:val="single" w:color="000000" w:sz="4" w:space="0"/>
              <w:left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分值</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二级指标</w:t>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分值</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三级指标</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分值</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得分</w:t>
            </w:r>
          </w:p>
        </w:tc>
      </w:tr>
      <w:tr>
        <w:tblPrEx>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项目决策</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20</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项目目标</w:t>
            </w:r>
            <w:r>
              <w:rPr>
                <w:rFonts w:hint="eastAsia" w:ascii="宋体" w:hAnsi="宋体" w:eastAsia="宋体"/>
                <w:sz w:val="24"/>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hint="eastAsia" w:ascii="宋体" w:hAnsi="宋体" w:eastAsia="宋体"/>
                <w:sz w:val="24"/>
              </w:rPr>
              <w:drawing>
                <wp:inline distT="0" distB="0" distL="0" distR="0">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目标内容</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决策过程</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决策依据</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ascii="宋体" w:hAnsi="宋体" w:eastAsia="宋体"/>
                <w:sz w:val="24"/>
              </w:rPr>
              <w:t>3</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决策程序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ascii="宋体" w:hAnsi="宋体" w:eastAsia="宋体"/>
                <w:sz w:val="24"/>
              </w:rPr>
              <w:t>5</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资金分配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分配办法</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分配结果</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6</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6</w:t>
            </w:r>
          </w:p>
        </w:tc>
      </w:tr>
      <w:tr>
        <w:tblPrEx>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项目管理</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25</w:t>
            </w: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资金到位</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到位率</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到位时效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资金管理</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资金使用</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7</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6</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财务管理</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组织实施</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组织机构</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管理制度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9</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9</w:t>
            </w:r>
          </w:p>
        </w:tc>
      </w:tr>
      <w:tr>
        <w:tblPrEx>
          <w:tblCellMar>
            <w:top w:w="0" w:type="dxa"/>
            <w:left w:w="108" w:type="dxa"/>
            <w:bottom w:w="0" w:type="dxa"/>
            <w:right w:w="108" w:type="dxa"/>
          </w:tblCellMar>
        </w:tblPrEx>
        <w:trPr>
          <w:trHeight w:val="284" w:hRule="atLeast"/>
        </w:trPr>
        <w:tc>
          <w:tcPr>
            <w:tcW w:w="129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项目绩效</w:t>
            </w:r>
          </w:p>
        </w:tc>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55</w:t>
            </w: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项目产出</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15</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产出数量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5</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产出质量</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产出时效</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2</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产出成本</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3</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项目效益</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40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经济效益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7</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社会效益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sz w:val="24"/>
                <w:lang w:val="en-US" w:eastAsia="zh-CN"/>
              </w:rPr>
            </w:pPr>
            <w:r>
              <w:rPr>
                <w:rFonts w:hint="eastAsia" w:ascii="宋体" w:hAnsi="宋体" w:eastAsia="宋体"/>
                <w:sz w:val="24"/>
                <w:lang w:val="en-US" w:eastAsia="zh-CN"/>
              </w:rPr>
              <w:t>7</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环境效益</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可持续影响</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r>
      <w:tr>
        <w:tblPrEx>
          <w:tblCellMar>
            <w:top w:w="0" w:type="dxa"/>
            <w:left w:w="108" w:type="dxa"/>
            <w:bottom w:w="0" w:type="dxa"/>
            <w:right w:w="108" w:type="dxa"/>
          </w:tblCellMar>
        </w:tblPrEx>
        <w:trPr>
          <w:trHeight w:val="284" w:hRule="atLeast"/>
        </w:trPr>
        <w:tc>
          <w:tcPr>
            <w:tcW w:w="1292"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43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sz w:val="24"/>
              </w:rPr>
            </w:pP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服务对象满意度</w:t>
            </w: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sz w:val="24"/>
              </w:rPr>
            </w:pPr>
            <w:r>
              <w:rPr>
                <w:rFonts w:hint="eastAsia" w:ascii="宋体" w:hAnsi="宋体" w:eastAsia="宋体"/>
                <w:sz w:val="24"/>
              </w:rPr>
              <w:t>8</w:t>
            </w:r>
          </w:p>
        </w:tc>
      </w:tr>
      <w:tr>
        <w:tblPrEx>
          <w:tblCellMar>
            <w:top w:w="0" w:type="dxa"/>
            <w:left w:w="108" w:type="dxa"/>
            <w:bottom w:w="0" w:type="dxa"/>
            <w:right w:w="108" w:type="dxa"/>
          </w:tblCellMar>
        </w:tblPrEx>
        <w:trPr>
          <w:trHeight w:val="284" w:hRule="atLeast"/>
        </w:trPr>
        <w:tc>
          <w:tcPr>
            <w:tcW w:w="129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总分</w:t>
            </w:r>
          </w:p>
        </w:tc>
        <w:tc>
          <w:tcPr>
            <w:tcW w:w="998"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100</w:t>
            </w:r>
          </w:p>
        </w:tc>
        <w:tc>
          <w:tcPr>
            <w:tcW w:w="143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p>
        </w:tc>
        <w:tc>
          <w:tcPr>
            <w:tcW w:w="8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100</w:t>
            </w:r>
          </w:p>
        </w:tc>
        <w:tc>
          <w:tcPr>
            <w:tcW w:w="192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hAnsi="宋体" w:eastAsia="宋体"/>
                <w:bCs/>
                <w:sz w:val="24"/>
              </w:rPr>
            </w:pPr>
            <w:r>
              <w:rPr>
                <w:rFonts w:hint="eastAsia" w:ascii="宋体" w:hAnsi="宋体" w:eastAsia="宋体"/>
                <w:bCs/>
                <w:sz w:val="24"/>
              </w:rPr>
              <w:t>100</w:t>
            </w:r>
          </w:p>
        </w:tc>
        <w:tc>
          <w:tcPr>
            <w:tcW w:w="1547"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bCs/>
                <w:sz w:val="24"/>
                <w:lang w:val="en-US" w:eastAsia="zh-CN"/>
              </w:rPr>
            </w:pPr>
            <w:r>
              <w:rPr>
                <w:rFonts w:hint="eastAsia" w:ascii="宋体" w:hAnsi="宋体" w:eastAsia="宋体"/>
                <w:bCs/>
                <w:sz w:val="24"/>
              </w:rPr>
              <w:t>9</w:t>
            </w:r>
            <w:r>
              <w:rPr>
                <w:rFonts w:hint="eastAsia" w:ascii="宋体" w:hAnsi="宋体" w:eastAsia="宋体"/>
                <w:bCs/>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615" w:type="dxa"/>
            <w:gridSpan w:val="4"/>
            <w:vAlign w:val="center"/>
          </w:tcPr>
          <w:p>
            <w:pPr>
              <w:spacing w:line="440" w:lineRule="exact"/>
              <w:jc w:val="center"/>
              <w:rPr>
                <w:rFonts w:ascii="宋体" w:hAnsi="宋体" w:eastAsia="宋体"/>
                <w:sz w:val="24"/>
              </w:rPr>
            </w:pPr>
            <w:r>
              <w:rPr>
                <w:rFonts w:hint="eastAsia" w:ascii="宋体" w:hAnsi="宋体" w:eastAsia="宋体"/>
                <w:sz w:val="24"/>
              </w:rPr>
              <w:t>评价等次</w:t>
            </w:r>
          </w:p>
        </w:tc>
        <w:tc>
          <w:tcPr>
            <w:tcW w:w="4316" w:type="dxa"/>
            <w:gridSpan w:val="3"/>
            <w:vAlign w:val="center"/>
          </w:tcPr>
          <w:p>
            <w:pPr>
              <w:spacing w:line="440" w:lineRule="exact"/>
              <w:jc w:val="center"/>
              <w:rPr>
                <w:rFonts w:ascii="宋体" w:hAnsi="宋体" w:eastAsia="宋体"/>
                <w:sz w:val="24"/>
              </w:rPr>
            </w:pPr>
            <w:r>
              <w:rPr>
                <w:rFonts w:hint="eastAsia" w:ascii="宋体" w:hAnsi="宋体" w:eastAsia="宋体"/>
                <w:sz w:val="24"/>
              </w:rPr>
              <w:t>优</w:t>
            </w:r>
          </w:p>
        </w:tc>
      </w:tr>
    </w:tbl>
    <w:p>
      <w:pPr>
        <w:spacing w:line="578" w:lineRule="exact"/>
        <w:ind w:firstLine="640" w:firstLineChars="200"/>
        <w:outlineLvl w:val="0"/>
        <w:rPr>
          <w:szCs w:val="32"/>
        </w:rPr>
      </w:pPr>
    </w:p>
    <w:p>
      <w:pPr>
        <w:spacing w:line="578" w:lineRule="exact"/>
        <w:ind w:firstLine="640" w:firstLineChars="200"/>
        <w:outlineLvl w:val="0"/>
        <w:rPr>
          <w:b/>
          <w:bCs/>
          <w:szCs w:val="32"/>
        </w:rPr>
      </w:pPr>
      <w:r>
        <w:rPr>
          <w:rFonts w:hint="eastAsia"/>
          <w:b/>
          <w:bCs/>
          <w:szCs w:val="32"/>
        </w:rPr>
        <w:t>六、存在的问题和建议</w:t>
      </w:r>
    </w:p>
    <w:p>
      <w:pPr>
        <w:spacing w:line="540" w:lineRule="exact"/>
        <w:ind w:firstLine="640" w:firstLineChars="200"/>
        <w:rPr>
          <w:szCs w:val="32"/>
        </w:rPr>
      </w:pPr>
      <w:r>
        <w:rPr>
          <w:rFonts w:hint="eastAsia"/>
          <w:szCs w:val="32"/>
        </w:rPr>
        <w:t>（一）存在的问题</w:t>
      </w:r>
    </w:p>
    <w:p>
      <w:pPr>
        <w:spacing w:line="578" w:lineRule="exact"/>
        <w:ind w:firstLine="640" w:firstLineChars="200"/>
        <w:rPr>
          <w:szCs w:val="32"/>
        </w:rPr>
      </w:pPr>
      <w:r>
        <w:rPr>
          <w:rFonts w:hint="eastAsia"/>
          <w:szCs w:val="32"/>
        </w:rPr>
        <w:t>防震减灾项目目标之一就是提高全省社会公众防震减灾意识和自救互救能力，但项目实施需要建立长效机制，久久为功，科普宣传的效果和成绩在短时间内较难立即凸显。</w:t>
      </w:r>
    </w:p>
    <w:p>
      <w:pPr>
        <w:ind w:firstLine="640" w:firstLineChars="200"/>
        <w:rPr>
          <w:szCs w:val="32"/>
        </w:rPr>
      </w:pPr>
      <w:r>
        <w:rPr>
          <w:rFonts w:hint="eastAsia"/>
          <w:szCs w:val="32"/>
        </w:rPr>
        <w:t>（二）改进措施</w:t>
      </w:r>
    </w:p>
    <w:p>
      <w:pPr>
        <w:ind w:firstLine="640" w:firstLineChars="200"/>
        <w:rPr>
          <w:szCs w:val="32"/>
        </w:rPr>
      </w:pPr>
      <w:r>
        <w:rPr>
          <w:rFonts w:hint="eastAsia"/>
          <w:szCs w:val="32"/>
        </w:rPr>
        <w:t>今后，我局将一如既往重视防灾减灾科普宣传活动，大力挖掘社会资源，广泛发动相关单位、企业、社团组织参与其中，着力构建新时代防灾减灾科普宣传新格局，建立科普宣传长效机制，使科普宣传活动常态化、社会化。同时，丰富活动内容，创新活动形式，加大对市县的指导力度，进一步提高社会公众防灾救灾意识和应对突发事件的自救互救能力，保障广大人民群众的生命财产安全，助力海南自贸区港建设。</w:t>
      </w:r>
    </w:p>
    <w:p>
      <w:pPr>
        <w:spacing w:line="540" w:lineRule="exact"/>
        <w:ind w:firstLine="640" w:firstLineChars="200"/>
        <w:rPr>
          <w:szCs w:val="32"/>
        </w:rPr>
      </w:pPr>
    </w:p>
    <w:p>
      <w:pPr>
        <w:spacing w:line="20" w:lineRule="exact"/>
      </w:pPr>
    </w:p>
    <w:sectPr>
      <w:pgSz w:w="11906" w:h="16838"/>
      <w:pgMar w:top="2098" w:right="1474" w:bottom="1985" w:left="1588" w:header="851" w:footer="158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A06BCF"/>
    <w:multiLevelType w:val="singleLevel"/>
    <w:tmpl w:val="CFA06BCF"/>
    <w:lvl w:ilvl="0" w:tentative="0">
      <w:start w:val="2"/>
      <w:numFmt w:val="decimal"/>
      <w:suff w:val="nothing"/>
      <w:lvlText w:val="（%1）"/>
      <w:lvlJc w:val="left"/>
    </w:lvl>
  </w:abstractNum>
  <w:abstractNum w:abstractNumId="1">
    <w:nsid w:val="00000003"/>
    <w:multiLevelType w:val="singleLevel"/>
    <w:tmpl w:val="0000000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2DA9"/>
    <w:rsid w:val="00015ACB"/>
    <w:rsid w:val="00032F8D"/>
    <w:rsid w:val="0005720B"/>
    <w:rsid w:val="00061CFF"/>
    <w:rsid w:val="00081DE1"/>
    <w:rsid w:val="00094B09"/>
    <w:rsid w:val="000A7D14"/>
    <w:rsid w:val="000D10D1"/>
    <w:rsid w:val="000E4FE5"/>
    <w:rsid w:val="000F09E6"/>
    <w:rsid w:val="00131525"/>
    <w:rsid w:val="00134BEB"/>
    <w:rsid w:val="00160DB0"/>
    <w:rsid w:val="001774C2"/>
    <w:rsid w:val="001A1A78"/>
    <w:rsid w:val="001B7413"/>
    <w:rsid w:val="001B7A78"/>
    <w:rsid w:val="001D4114"/>
    <w:rsid w:val="001F60B0"/>
    <w:rsid w:val="002015B4"/>
    <w:rsid w:val="00203565"/>
    <w:rsid w:val="00206685"/>
    <w:rsid w:val="0021696B"/>
    <w:rsid w:val="002409B3"/>
    <w:rsid w:val="00241DE7"/>
    <w:rsid w:val="00253B79"/>
    <w:rsid w:val="002631D5"/>
    <w:rsid w:val="00281B38"/>
    <w:rsid w:val="003071E0"/>
    <w:rsid w:val="00335B38"/>
    <w:rsid w:val="003465DA"/>
    <w:rsid w:val="003855D7"/>
    <w:rsid w:val="003B64FB"/>
    <w:rsid w:val="003C1B9B"/>
    <w:rsid w:val="003D5FC6"/>
    <w:rsid w:val="00412602"/>
    <w:rsid w:val="00422AA4"/>
    <w:rsid w:val="00444DE9"/>
    <w:rsid w:val="00446A4A"/>
    <w:rsid w:val="00451EB7"/>
    <w:rsid w:val="00453067"/>
    <w:rsid w:val="004A235F"/>
    <w:rsid w:val="004A5DF7"/>
    <w:rsid w:val="004E154C"/>
    <w:rsid w:val="004F6102"/>
    <w:rsid w:val="00523713"/>
    <w:rsid w:val="00547DCF"/>
    <w:rsid w:val="0055345C"/>
    <w:rsid w:val="00565E59"/>
    <w:rsid w:val="00586824"/>
    <w:rsid w:val="005A2E41"/>
    <w:rsid w:val="00624A98"/>
    <w:rsid w:val="00632E3A"/>
    <w:rsid w:val="0063302F"/>
    <w:rsid w:val="0068000C"/>
    <w:rsid w:val="00692E8D"/>
    <w:rsid w:val="006F3C4D"/>
    <w:rsid w:val="0071425B"/>
    <w:rsid w:val="0074672F"/>
    <w:rsid w:val="00752EAF"/>
    <w:rsid w:val="00763C3A"/>
    <w:rsid w:val="007B28A8"/>
    <w:rsid w:val="007B388E"/>
    <w:rsid w:val="007C7241"/>
    <w:rsid w:val="007F5084"/>
    <w:rsid w:val="007F76F7"/>
    <w:rsid w:val="00801DDF"/>
    <w:rsid w:val="00822B58"/>
    <w:rsid w:val="00830E61"/>
    <w:rsid w:val="00854485"/>
    <w:rsid w:val="0086382F"/>
    <w:rsid w:val="0088073A"/>
    <w:rsid w:val="00897EB1"/>
    <w:rsid w:val="008C77B5"/>
    <w:rsid w:val="008E7B80"/>
    <w:rsid w:val="00954004"/>
    <w:rsid w:val="00955E4E"/>
    <w:rsid w:val="00962185"/>
    <w:rsid w:val="009B1B5A"/>
    <w:rsid w:val="009C0719"/>
    <w:rsid w:val="009C1598"/>
    <w:rsid w:val="009D05E2"/>
    <w:rsid w:val="00A1408B"/>
    <w:rsid w:val="00A370DC"/>
    <w:rsid w:val="00AA31AE"/>
    <w:rsid w:val="00AB37D4"/>
    <w:rsid w:val="00AB7F5F"/>
    <w:rsid w:val="00B048FB"/>
    <w:rsid w:val="00B47023"/>
    <w:rsid w:val="00B519A0"/>
    <w:rsid w:val="00B57485"/>
    <w:rsid w:val="00B8732C"/>
    <w:rsid w:val="00BB4623"/>
    <w:rsid w:val="00BD7431"/>
    <w:rsid w:val="00C121E8"/>
    <w:rsid w:val="00C22DA9"/>
    <w:rsid w:val="00C30CC4"/>
    <w:rsid w:val="00C51DB5"/>
    <w:rsid w:val="00CD542D"/>
    <w:rsid w:val="00CD6C5F"/>
    <w:rsid w:val="00CE111F"/>
    <w:rsid w:val="00D00488"/>
    <w:rsid w:val="00D52C90"/>
    <w:rsid w:val="00D84263"/>
    <w:rsid w:val="00D93B9E"/>
    <w:rsid w:val="00DF3209"/>
    <w:rsid w:val="00E10424"/>
    <w:rsid w:val="00E174F7"/>
    <w:rsid w:val="00E934E8"/>
    <w:rsid w:val="00EA3743"/>
    <w:rsid w:val="00EA3AAC"/>
    <w:rsid w:val="00EA5AEE"/>
    <w:rsid w:val="00EB6ED3"/>
    <w:rsid w:val="00EF7D8B"/>
    <w:rsid w:val="00F01726"/>
    <w:rsid w:val="00F13AD7"/>
    <w:rsid w:val="00F14250"/>
    <w:rsid w:val="00F51BAA"/>
    <w:rsid w:val="00F62BB4"/>
    <w:rsid w:val="00F83D8A"/>
    <w:rsid w:val="00FB34FD"/>
    <w:rsid w:val="00FD2502"/>
    <w:rsid w:val="00FD438B"/>
    <w:rsid w:val="00FE17BB"/>
    <w:rsid w:val="036C7720"/>
    <w:rsid w:val="06140AC7"/>
    <w:rsid w:val="06F76BE2"/>
    <w:rsid w:val="078E3B26"/>
    <w:rsid w:val="090D4273"/>
    <w:rsid w:val="091E4CD7"/>
    <w:rsid w:val="0A2D6338"/>
    <w:rsid w:val="0DA118AF"/>
    <w:rsid w:val="10B76083"/>
    <w:rsid w:val="188626AB"/>
    <w:rsid w:val="1C411FE9"/>
    <w:rsid w:val="1D2430E0"/>
    <w:rsid w:val="219A7344"/>
    <w:rsid w:val="26292D9A"/>
    <w:rsid w:val="27EC51F7"/>
    <w:rsid w:val="2A437B46"/>
    <w:rsid w:val="2B3A2149"/>
    <w:rsid w:val="3A540CBF"/>
    <w:rsid w:val="3A5F2C38"/>
    <w:rsid w:val="3A795A4C"/>
    <w:rsid w:val="3B4F705C"/>
    <w:rsid w:val="3BB70672"/>
    <w:rsid w:val="3EA252C0"/>
    <w:rsid w:val="3EC71AD7"/>
    <w:rsid w:val="44BE312A"/>
    <w:rsid w:val="4600738F"/>
    <w:rsid w:val="48E35262"/>
    <w:rsid w:val="49D64210"/>
    <w:rsid w:val="4A617704"/>
    <w:rsid w:val="4BC6475D"/>
    <w:rsid w:val="4CE3784E"/>
    <w:rsid w:val="4D4A67A2"/>
    <w:rsid w:val="51A80E36"/>
    <w:rsid w:val="541923EC"/>
    <w:rsid w:val="5480447E"/>
    <w:rsid w:val="56EA514D"/>
    <w:rsid w:val="584E5811"/>
    <w:rsid w:val="5B465391"/>
    <w:rsid w:val="5B4B5B67"/>
    <w:rsid w:val="5DF367E1"/>
    <w:rsid w:val="5FA13855"/>
    <w:rsid w:val="62CF502E"/>
    <w:rsid w:val="63112889"/>
    <w:rsid w:val="634516EB"/>
    <w:rsid w:val="63DC4CDF"/>
    <w:rsid w:val="63F04DB1"/>
    <w:rsid w:val="66C7589F"/>
    <w:rsid w:val="6842639E"/>
    <w:rsid w:val="69AF1AF9"/>
    <w:rsid w:val="6B97434E"/>
    <w:rsid w:val="6C6C3E75"/>
    <w:rsid w:val="70536360"/>
    <w:rsid w:val="70AC1ED3"/>
    <w:rsid w:val="71282AB9"/>
    <w:rsid w:val="714E2481"/>
    <w:rsid w:val="724D574D"/>
    <w:rsid w:val="792A31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2"/>
    <w:qFormat/>
    <w:uiPriority w:val="0"/>
    <w:pPr>
      <w:spacing w:line="360" w:lineRule="auto"/>
      <w:ind w:firstLine="200" w:firstLineChars="200"/>
      <w:jc w:val="left"/>
    </w:pPr>
    <w:rPr>
      <w:rFonts w:ascii="Calibri" w:hAnsi="Calibri" w:eastAsia="宋体"/>
      <w:sz w:val="28"/>
      <w:szCs w:val="22"/>
    </w:rPr>
  </w:style>
  <w:style w:type="paragraph" w:styleId="3">
    <w:name w:val="Date"/>
    <w:basedOn w:val="1"/>
    <w:next w:val="1"/>
    <w:link w:val="200"/>
    <w:qFormat/>
    <w:uiPriority w:val="0"/>
    <w:pPr>
      <w:ind w:left="100" w:leftChars="2500"/>
    </w:pPr>
  </w:style>
  <w:style w:type="paragraph" w:styleId="4">
    <w:name w:val="Balloon Text"/>
    <w:basedOn w:val="1"/>
    <w:link w:val="68"/>
    <w:qFormat/>
    <w:uiPriority w:val="0"/>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样式261"/>
    <w:qFormat/>
    <w:uiPriority w:val="0"/>
    <w:rPr>
      <w:rFonts w:hint="eastAsia" w:ascii="黑体" w:eastAsia="黑体"/>
      <w:color w:val="000000"/>
      <w:sz w:val="30"/>
      <w:szCs w:val="30"/>
    </w:rPr>
  </w:style>
  <w:style w:type="paragraph" w:customStyle="1" w:styleId="15">
    <w:name w:val="et1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
    <w:name w:val="et2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
    <w:name w:val="et1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
    <w:name w:val="et1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
    <w:name w:val="et2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20">
    <w:name w:val="et119"/>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1">
    <w:name w:val="et15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2">
    <w:name w:val="et24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3">
    <w:name w:val="et217"/>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4">
    <w:name w:val="et1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5">
    <w:name w:val="et1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6">
    <w:name w:val="et2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7">
    <w:name w:val="et1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8">
    <w:name w:val="et1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333300"/>
      <w:kern w:val="0"/>
      <w:sz w:val="20"/>
      <w:szCs w:val="20"/>
    </w:rPr>
  </w:style>
  <w:style w:type="paragraph" w:customStyle="1" w:styleId="29">
    <w:name w:val="et1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0">
    <w:name w:val="et254"/>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1">
    <w:name w:val="et260"/>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32">
    <w:name w:val="et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33">
    <w:name w:val="et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4">
    <w:name w:val="et15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5">
    <w:name w:val="et23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6">
    <w:name w:val="et1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7">
    <w:name w:val="et2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8">
    <w:name w:val="et1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9">
    <w:name w:val="et1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0">
    <w:name w:val="et1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1">
    <w:name w:val="et277"/>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character" w:customStyle="1" w:styleId="42">
    <w:name w:val="批注文字 Char"/>
    <w:basedOn w:val="10"/>
    <w:link w:val="2"/>
    <w:qFormat/>
    <w:uiPriority w:val="0"/>
    <w:rPr>
      <w:rFonts w:ascii="Calibri" w:hAnsi="Calibri" w:eastAsia="宋体" w:cs="Times New Roman"/>
      <w:sz w:val="28"/>
    </w:rPr>
  </w:style>
  <w:style w:type="paragraph" w:customStyle="1" w:styleId="43">
    <w:name w:val="et10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44">
    <w:name w:val="et1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5">
    <w:name w:val="et213"/>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46">
    <w:name w:val="et1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7">
    <w:name w:val="et1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8">
    <w:name w:val="et226"/>
    <w:basedOn w:val="1"/>
    <w:qFormat/>
    <w:uiPriority w:val="0"/>
    <w:pPr>
      <w:widowControl/>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49">
    <w:name w:val="et23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0">
    <w:name w:val="et23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1">
    <w:name w:val="et16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2">
    <w:name w:val="et221"/>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3">
    <w:name w:val="et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4">
    <w:name w:val="et1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5">
    <w:name w:val="et1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6">
    <w:name w:val="et229"/>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7">
    <w:name w:val="et1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8">
    <w:name w:val="et25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9">
    <w:name w:val="et210"/>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0">
    <w:name w:val="et2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1">
    <w:name w:val="et1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2">
    <w:name w:val="et1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3">
    <w:name w:val="et22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4">
    <w:name w:val="et2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5">
    <w:name w:val="et20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6">
    <w:name w:val="Char Char Char Char"/>
    <w:basedOn w:val="1"/>
    <w:qFormat/>
    <w:uiPriority w:val="0"/>
    <w:rPr>
      <w:rFonts w:ascii="Times New Roman" w:hAnsi="Times New Roman" w:eastAsia="宋体"/>
      <w:sz w:val="21"/>
      <w:szCs w:val="20"/>
    </w:rPr>
  </w:style>
  <w:style w:type="paragraph" w:customStyle="1" w:styleId="67">
    <w:name w:val="et19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character" w:customStyle="1" w:styleId="68">
    <w:name w:val="批注框文本 Char"/>
    <w:basedOn w:val="10"/>
    <w:link w:val="4"/>
    <w:qFormat/>
    <w:uiPriority w:val="0"/>
    <w:rPr>
      <w:rFonts w:ascii="仿宋_GB2312" w:hAnsi="新宋体" w:eastAsia="仿宋_GB2312" w:cs="Times New Roman"/>
      <w:sz w:val="18"/>
      <w:szCs w:val="18"/>
    </w:rPr>
  </w:style>
  <w:style w:type="paragraph" w:customStyle="1" w:styleId="69">
    <w:name w:val="et232"/>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70">
    <w:name w:val="et1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1">
    <w:name w:val="et1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2">
    <w:name w:val="et2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3">
    <w:name w:val="et1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4">
    <w:name w:val="et2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75">
    <w:name w:val="et24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6">
    <w:name w:val="et105"/>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77">
    <w:name w:val="et1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8">
    <w:name w:val="et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79">
    <w:name w:val="et2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80">
    <w:name w:val="et2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1">
    <w:name w:val="et258"/>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2">
    <w:name w:val="et103"/>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3">
    <w:name w:val="et1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4">
    <w:name w:val="et1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5">
    <w:name w:val="et1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6">
    <w:name w:val="et1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7">
    <w:name w:val="et192"/>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88">
    <w:name w:val="et1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9">
    <w:name w:val="et1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0">
    <w:name w:val="et25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91">
    <w:name w:val="et1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2">
    <w:name w:val="et23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3">
    <w:name w:val="et1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4">
    <w:name w:val="et1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5">
    <w:name w:val="et26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96">
    <w:name w:val="et23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97">
    <w:name w:val="et1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8">
    <w:name w:val="et12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9">
    <w:name w:val="et1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0">
    <w:name w:val="et1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1">
    <w:name w:val="et1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2">
    <w:name w:val="et252"/>
    <w:basedOn w:val="1"/>
    <w:qFormat/>
    <w:uiPriority w:val="0"/>
    <w:pPr>
      <w:widowControl/>
      <w:pBdr>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03">
    <w:name w:val="et1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4">
    <w:name w:val="et22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05">
    <w:name w:val="et251"/>
    <w:basedOn w:val="1"/>
    <w:qFormat/>
    <w:uiPriority w:val="0"/>
    <w:pPr>
      <w:widowControl/>
      <w:pBdr>
        <w:top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06">
    <w:name w:val="et1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7">
    <w:name w:val="et19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108">
    <w:name w:val="et1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9">
    <w:name w:val="et27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10">
    <w:name w:val="et12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1">
    <w:name w:val="et10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2">
    <w:name w:val="et1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3">
    <w:name w:val="et255"/>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4">
    <w:name w:val="et280"/>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rPr>
  </w:style>
  <w:style w:type="paragraph" w:customStyle="1" w:styleId="115">
    <w:name w:val="et107"/>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6">
    <w:name w:val="et13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7">
    <w:name w:val="et2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8">
    <w:name w:val="et2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19">
    <w:name w:val="et259"/>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0">
    <w:name w:val="et253"/>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1">
    <w:name w:val="et11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2">
    <w:name w:val="et2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3">
    <w:name w:val="et2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4">
    <w:name w:val="et24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5">
    <w:name w:val="et18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6">
    <w:name w:val="et209"/>
    <w:basedOn w:val="1"/>
    <w:qFormat/>
    <w:uiPriority w:val="0"/>
    <w:pPr>
      <w:widowControl/>
      <w:pBdr>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7">
    <w:name w:val="et20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8">
    <w:name w:val="et1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9">
    <w:name w:val="et1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0">
    <w:name w:val="et278"/>
    <w:basedOn w:val="1"/>
    <w:qFormat/>
    <w:uiPriority w:val="0"/>
    <w:pPr>
      <w:widowControl/>
      <w:spacing w:before="100" w:beforeAutospacing="1" w:after="100" w:afterAutospacing="1"/>
      <w:jc w:val="center"/>
      <w:textAlignment w:val="center"/>
    </w:pPr>
    <w:rPr>
      <w:rFonts w:ascii="宋体" w:hAnsi="宋体" w:eastAsia="宋体" w:cs="宋体"/>
      <w:color w:val="000000"/>
      <w:kern w:val="0"/>
      <w:sz w:val="24"/>
    </w:rPr>
  </w:style>
  <w:style w:type="paragraph" w:customStyle="1" w:styleId="131">
    <w:name w:val="et27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2">
    <w:name w:val="et27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3">
    <w:name w:val="et1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4">
    <w:name w:val="et24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35">
    <w:name w:val="et1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6">
    <w:name w:val="et28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7">
    <w:name w:val="et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8">
    <w:name w:val="et22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39">
    <w:name w:val="et2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40">
    <w:name w:val="et1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1">
    <w:name w:val="et26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2">
    <w:name w:val="et248"/>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43">
    <w:name w:val="et1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4">
    <w:name w:val="正文1 Char Char Char"/>
    <w:basedOn w:val="1"/>
    <w:qFormat/>
    <w:uiPriority w:val="0"/>
    <w:pPr>
      <w:spacing w:line="360" w:lineRule="auto"/>
      <w:ind w:firstLine="200" w:firstLineChars="200"/>
    </w:pPr>
  </w:style>
  <w:style w:type="paragraph" w:customStyle="1" w:styleId="145">
    <w:name w:val="et10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6">
    <w:name w:val="et19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7">
    <w:name w:val="Char1"/>
    <w:basedOn w:val="1"/>
    <w:qFormat/>
    <w:uiPriority w:val="0"/>
    <w:rPr>
      <w:rFonts w:ascii="Times New Roman" w:hAnsi="Times New Roman" w:eastAsia="宋体"/>
      <w:sz w:val="21"/>
    </w:rPr>
  </w:style>
  <w:style w:type="paragraph" w:customStyle="1" w:styleId="148">
    <w:name w:val="et1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9">
    <w:name w:val="et240"/>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0">
    <w:name w:val="et1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1">
    <w:name w:val="et27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52">
    <w:name w:val="et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3">
    <w:name w:val="et243"/>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4">
    <w:name w:val="et1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5">
    <w:name w:val="et1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6">
    <w:name w:val="et1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7">
    <w:name w:val="et2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styleId="158">
    <w:name w:val="List Paragraph"/>
    <w:basedOn w:val="1"/>
    <w:qFormat/>
    <w:uiPriority w:val="0"/>
    <w:pPr>
      <w:spacing w:line="360" w:lineRule="auto"/>
      <w:ind w:firstLine="420" w:firstLineChars="200"/>
    </w:pPr>
    <w:rPr>
      <w:rFonts w:ascii="Calibri" w:hAnsi="Calibri" w:eastAsia="宋体"/>
      <w:sz w:val="28"/>
      <w:szCs w:val="22"/>
    </w:rPr>
  </w:style>
  <w:style w:type="paragraph" w:customStyle="1" w:styleId="159">
    <w:name w:val="et15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0">
    <w:name w:val="et224"/>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1">
    <w:name w:val="et228"/>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2">
    <w:name w:val="et26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3">
    <w:name w:val="et1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4">
    <w:name w:val="et19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5">
    <w:name w:val="et1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6">
    <w:name w:val="et225"/>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7">
    <w:name w:val="et1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8">
    <w:name w:val="et24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9">
    <w:name w:val="et2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70">
    <w:name w:val="et19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1">
    <w:name w:val="et1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2">
    <w:name w:val="et1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3">
    <w:name w:val="et206"/>
    <w:basedOn w:val="1"/>
    <w:qFormat/>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4">
    <w:name w:val="et257"/>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75">
    <w:name w:val="et1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6">
    <w:name w:val="et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7">
    <w:name w:val="et1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8">
    <w:name w:val="et2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79">
    <w:name w:val="et21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80">
    <w:name w:val="et1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1">
    <w:name w:val="et23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82">
    <w:name w:val="et1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3">
    <w:name w:val="et211"/>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4">
    <w:name w:val="et16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5">
    <w:name w:val="et23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6">
    <w:name w:val="et27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87">
    <w:name w:val="et24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8">
    <w:name w:val="et1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9">
    <w:name w:val="et1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0">
    <w:name w:val="et1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1">
    <w:name w:val="et24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92">
    <w:name w:val="et1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3">
    <w:name w:val="et20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94">
    <w:name w:val="et2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5">
    <w:name w:val="et1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6">
    <w:name w:val="et1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7">
    <w:name w:val="et1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8">
    <w:name w:val="et270"/>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99">
    <w:name w:val="et20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character" w:customStyle="1" w:styleId="200">
    <w:name w:val="日期 Char"/>
    <w:basedOn w:val="10"/>
    <w:link w:val="3"/>
    <w:qFormat/>
    <w:uiPriority w:val="0"/>
    <w:rPr>
      <w:rFonts w:ascii="仿宋_GB2312" w:hAnsi="新宋体" w:eastAsia="仿宋_GB2312" w:cs="Times New Roman"/>
      <w:sz w:val="32"/>
      <w:szCs w:val="24"/>
    </w:rPr>
  </w:style>
  <w:style w:type="paragraph" w:customStyle="1" w:styleId="201">
    <w:name w:val="et279"/>
    <w:basedOn w:val="1"/>
    <w:qFormat/>
    <w:uiPriority w:val="0"/>
    <w:pPr>
      <w:widowControl/>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02">
    <w:name w:val="et1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14B0AD-D62A-409B-9771-05E70B44C0E0}">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17</Pages>
  <Words>1301</Words>
  <Characters>7419</Characters>
  <Lines>61</Lines>
  <Paragraphs>17</Paragraphs>
  <TotalTime>1</TotalTime>
  <ScaleCrop>false</ScaleCrop>
  <LinksUpToDate>false</LinksUpToDate>
  <CharactersWithSpaces>8703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2020-05-26T02:08:00Z</dcterms:created>
  <dc:creator>赵蔚红</dc:creator>
  <cp:lastModifiedBy>黄子妍</cp:lastModifiedBy>
  <cp:lastPrinted>2020-05-29T02:12:00Z</cp:lastPrinted>
  <dcterms:modified xsi:type="dcterms:W3CDTF">2020-08-27T05:17:08Z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