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left"/>
        <w:rPr>
          <w:rFonts w:hint="eastAsia"/>
          <w:lang w:eastAsia="zh-CN"/>
        </w:rPr>
      </w:pPr>
      <w:r>
        <w:rPr>
          <w:rFonts w:hint="eastAsia" w:ascii="宋体" w:hAnsi="宋体" w:eastAsia="宋体"/>
          <w:b w:val="0"/>
          <w:bCs w:val="0"/>
          <w:color w:val="000000"/>
          <w:sz w:val="32"/>
          <w:szCs w:val="32"/>
          <w:lang w:eastAsia="zh-CN"/>
        </w:rPr>
        <w:t>附件</w:t>
      </w:r>
      <w:bookmarkStart w:id="0" w:name="_GoBack"/>
      <w:bookmarkEnd w:id="0"/>
    </w:p>
    <w:p>
      <w:pPr>
        <w:spacing w:line="578" w:lineRule="exact"/>
        <w:jc w:val="center"/>
        <w:rPr>
          <w:rFonts w:ascii="宋体" w:hAnsi="宋体" w:eastAsia="宋体"/>
          <w:b/>
          <w:bCs/>
          <w:color w:val="000000"/>
          <w:sz w:val="44"/>
          <w:szCs w:val="44"/>
        </w:rPr>
      </w:pPr>
      <w:r>
        <w:rPr>
          <w:rFonts w:hint="eastAsia" w:ascii="宋体" w:hAnsi="宋体" w:eastAsia="宋体"/>
          <w:b/>
          <w:bCs/>
          <w:color w:val="000000"/>
          <w:sz w:val="44"/>
          <w:szCs w:val="44"/>
        </w:rPr>
        <w:t>2021年海南省地震局地震事务运行及管理</w:t>
      </w:r>
    </w:p>
    <w:p>
      <w:pPr>
        <w:spacing w:line="578" w:lineRule="exact"/>
        <w:jc w:val="center"/>
        <w:rPr>
          <w:rFonts w:hint="eastAsia" w:ascii="宋体" w:hAnsi="宋体" w:eastAsia="宋体"/>
          <w:b/>
          <w:bCs/>
          <w:color w:val="000000"/>
          <w:sz w:val="44"/>
          <w:szCs w:val="44"/>
        </w:rPr>
      </w:pPr>
      <w:r>
        <w:rPr>
          <w:rFonts w:hint="eastAsia" w:ascii="宋体" w:hAnsi="宋体" w:eastAsia="宋体"/>
          <w:b/>
          <w:bCs/>
          <w:color w:val="000000"/>
          <w:sz w:val="44"/>
          <w:szCs w:val="44"/>
        </w:rPr>
        <w:t>项目支出绩效评价报告</w:t>
      </w:r>
    </w:p>
    <w:p>
      <w:pPr>
        <w:pStyle w:val="2"/>
      </w:pPr>
    </w:p>
    <w:p>
      <w:pPr>
        <w:spacing w:line="578" w:lineRule="exact"/>
        <w:ind w:firstLine="640" w:firstLineChars="200"/>
        <w:outlineLvl w:val="0"/>
        <w:rPr>
          <w:rFonts w:ascii="黑体" w:hAnsi="黑体" w:eastAsia="黑体" w:cs="黑体"/>
          <w:color w:val="000000"/>
        </w:rPr>
      </w:pPr>
      <w:r>
        <w:rPr>
          <w:rFonts w:hint="eastAsia" w:ascii="黑体" w:hAnsi="黑体" w:eastAsia="黑体" w:cs="黑体"/>
          <w:color w:val="000000"/>
        </w:rPr>
        <w:t>一、项目概况</w:t>
      </w:r>
    </w:p>
    <w:p>
      <w:pPr>
        <w:spacing w:line="578" w:lineRule="exact"/>
        <w:ind w:firstLine="640" w:firstLineChars="200"/>
        <w:rPr>
          <w:szCs w:val="32"/>
        </w:rPr>
      </w:pPr>
      <w:r>
        <w:rPr>
          <w:rFonts w:hint="eastAsia"/>
          <w:szCs w:val="32"/>
        </w:rPr>
        <w:t>（一）</w:t>
      </w:r>
      <w:r>
        <w:rPr>
          <w:rFonts w:hint="eastAsia" w:hAnsi="宋体" w:cs="宋体"/>
          <w:color w:val="000000"/>
          <w:kern w:val="0"/>
          <w:szCs w:val="32"/>
        </w:rPr>
        <w:t>项目基本性质、用途和主要内容</w:t>
      </w:r>
    </w:p>
    <w:p>
      <w:pPr>
        <w:spacing w:line="578" w:lineRule="exact"/>
        <w:ind w:firstLine="640" w:firstLineChars="200"/>
        <w:rPr>
          <w:szCs w:val="32"/>
        </w:rPr>
      </w:pPr>
      <w:r>
        <w:rPr>
          <w:rFonts w:hint="eastAsia"/>
          <w:szCs w:val="32"/>
        </w:rPr>
        <w:t>根据省地震局职责：组织编制海南省防震减灾规划和计划；推进防震减灾计划体制的建立和完善；指导市、县防震减灾工作；按照全国地震监测台网（站）建设规划，负责统一规划本行政区域内地震及火山台网（站）及信息系统的建设，实现资源共享；组织防震减灾公共服务，负责防震减灾科学技术研究和成果推广应用，负责防震减灾科普宣传和培训工作；对市、县地震监测台网（站）和群测群防工作实行行业管理；负责全省地震行业质量与技术监督管理工作；管理地震计量工作。</w:t>
      </w:r>
    </w:p>
    <w:p>
      <w:pPr>
        <w:spacing w:line="578" w:lineRule="exact"/>
        <w:rPr>
          <w:szCs w:val="32"/>
        </w:rPr>
      </w:pPr>
      <w:r>
        <w:rPr>
          <w:rFonts w:hint="eastAsia"/>
          <w:szCs w:val="32"/>
        </w:rPr>
        <w:t xml:space="preserve">   （二）项目</w:t>
      </w:r>
      <w:r>
        <w:rPr>
          <w:szCs w:val="32"/>
        </w:rPr>
        <w:t>绩效目标</w:t>
      </w:r>
    </w:p>
    <w:p>
      <w:pPr>
        <w:spacing w:line="578" w:lineRule="exact"/>
        <w:ind w:firstLine="640" w:firstLineChars="200"/>
        <w:rPr>
          <w:szCs w:val="32"/>
        </w:rPr>
      </w:pPr>
      <w:r>
        <w:rPr>
          <w:rFonts w:hint="eastAsia"/>
          <w:szCs w:val="32"/>
        </w:rPr>
        <w:t>地震事务运行及管理</w:t>
      </w:r>
      <w:r>
        <w:rPr>
          <w:szCs w:val="32"/>
        </w:rPr>
        <w:t>项目绩效</w:t>
      </w:r>
      <w:r>
        <w:rPr>
          <w:rFonts w:hint="eastAsia"/>
          <w:szCs w:val="32"/>
        </w:rPr>
        <w:t>产出</w:t>
      </w:r>
      <w:r>
        <w:rPr>
          <w:szCs w:val="32"/>
        </w:rPr>
        <w:t>目标为</w:t>
      </w:r>
      <w:r>
        <w:rPr>
          <w:rFonts w:hint="eastAsia"/>
          <w:szCs w:val="32"/>
        </w:rPr>
        <w:t>参训人员合格率100%</w:t>
      </w:r>
      <w:r>
        <w:rPr>
          <w:szCs w:val="32"/>
        </w:rPr>
        <w:t>；项目绩效成效为</w:t>
      </w:r>
      <w:r>
        <w:rPr>
          <w:rFonts w:hint="eastAsia"/>
          <w:szCs w:val="32"/>
        </w:rPr>
        <w:t>全民防震减灾意识提高不少于10%</w:t>
      </w:r>
      <w:r>
        <w:rPr>
          <w:szCs w:val="32"/>
        </w:rPr>
        <w:t>，</w:t>
      </w:r>
      <w:r>
        <w:rPr>
          <w:rFonts w:hint="eastAsia"/>
          <w:szCs w:val="32"/>
        </w:rPr>
        <w:t>项目满意度指标为受训学员满意度不低于90</w:t>
      </w:r>
      <w:r>
        <w:rPr>
          <w:szCs w:val="32"/>
        </w:rPr>
        <w:t>%。</w:t>
      </w:r>
    </w:p>
    <w:p>
      <w:pPr>
        <w:spacing w:line="578" w:lineRule="exact"/>
        <w:ind w:firstLine="640" w:firstLineChars="200"/>
        <w:rPr>
          <w:b/>
          <w:szCs w:val="32"/>
          <w:highlight w:val="none"/>
        </w:rPr>
      </w:pPr>
      <w:r>
        <w:rPr>
          <w:rFonts w:hint="eastAsia"/>
          <w:b/>
          <w:szCs w:val="32"/>
          <w:highlight w:val="none"/>
        </w:rPr>
        <w:t>二、项目</w:t>
      </w:r>
      <w:r>
        <w:rPr>
          <w:rFonts w:hint="eastAsia"/>
          <w:b/>
          <w:szCs w:val="32"/>
          <w:highlight w:val="none"/>
          <w:lang w:eastAsia="zh-CN"/>
        </w:rPr>
        <w:t>决策及</w:t>
      </w:r>
      <w:r>
        <w:rPr>
          <w:rFonts w:hint="eastAsia"/>
          <w:b/>
          <w:szCs w:val="32"/>
          <w:highlight w:val="none"/>
        </w:rPr>
        <w:t>资金使用管理情况</w:t>
      </w:r>
    </w:p>
    <w:p>
      <w:pPr>
        <w:spacing w:line="578" w:lineRule="exact"/>
        <w:ind w:firstLine="640" w:firstLineChars="200"/>
        <w:rPr>
          <w:rFonts w:hint="eastAsia"/>
          <w:szCs w:val="32"/>
          <w:highlight w:val="none"/>
        </w:rPr>
      </w:pPr>
      <w:r>
        <w:rPr>
          <w:rFonts w:hint="eastAsia"/>
          <w:szCs w:val="32"/>
          <w:highlight w:val="none"/>
          <w:lang w:eastAsia="zh-CN"/>
        </w:rPr>
        <w:t>（一）项目决策情况分析</w:t>
      </w:r>
      <w:r>
        <w:rPr>
          <w:rFonts w:hint="eastAsia"/>
          <w:szCs w:val="32"/>
          <w:highlight w:val="none"/>
        </w:rPr>
        <w:t xml:space="preserve"> </w:t>
      </w:r>
    </w:p>
    <w:p>
      <w:pPr>
        <w:spacing w:line="578" w:lineRule="exact"/>
        <w:ind w:firstLine="640" w:firstLineChars="200"/>
        <w:rPr>
          <w:rFonts w:hint="eastAsia"/>
          <w:szCs w:val="32"/>
          <w:highlight w:val="none"/>
        </w:rPr>
      </w:pPr>
      <w:r>
        <w:rPr>
          <w:rFonts w:hint="eastAsia"/>
          <w:szCs w:val="32"/>
        </w:rPr>
        <w:t>地震事务运行及管理</w:t>
      </w:r>
      <w:r>
        <w:rPr>
          <w:rFonts w:hint="eastAsia" w:ascii="仿宋_GB2312" w:hAnsi="宋体" w:eastAsia="仿宋_GB2312" w:cs="宋体"/>
          <w:color w:val="000000"/>
          <w:kern w:val="0"/>
          <w:sz w:val="32"/>
          <w:szCs w:val="32"/>
          <w:lang w:eastAsia="zh-CN"/>
        </w:rPr>
        <w:t>项目是根据</w:t>
      </w:r>
      <w:r>
        <w:rPr>
          <w:rFonts w:hint="eastAsia" w:hAnsi="宋体" w:cs="宋体"/>
          <w:color w:val="000000"/>
          <w:kern w:val="0"/>
          <w:sz w:val="32"/>
          <w:szCs w:val="32"/>
          <w:lang w:val="en-US" w:eastAsia="zh-CN"/>
        </w:rPr>
        <w:t>海南省地震局</w:t>
      </w:r>
      <w:r>
        <w:rPr>
          <w:rFonts w:hint="eastAsia" w:ascii="仿宋_GB2312" w:hAnsi="宋体" w:eastAsia="仿宋_GB2312" w:cs="宋体"/>
          <w:color w:val="000000"/>
          <w:kern w:val="0"/>
          <w:sz w:val="32"/>
          <w:szCs w:val="32"/>
          <w:lang w:eastAsia="zh-CN"/>
        </w:rPr>
        <w:t>决策部署，围绕中心工作，对</w:t>
      </w:r>
      <w:r>
        <w:rPr>
          <w:rFonts w:ascii="仿宋_GB2312" w:hAnsi="宋体" w:eastAsia="仿宋_GB2312" w:cs="宋体"/>
          <w:color w:val="000000"/>
          <w:kern w:val="0"/>
          <w:sz w:val="32"/>
          <w:szCs w:val="32"/>
        </w:rPr>
        <w:t>全省</w:t>
      </w:r>
      <w:r>
        <w:rPr>
          <w:rFonts w:hint="eastAsia"/>
          <w:szCs w:val="32"/>
        </w:rPr>
        <w:t>地震事务运行及管理</w:t>
      </w:r>
      <w:r>
        <w:rPr>
          <w:rFonts w:hint="eastAsia"/>
          <w:szCs w:val="32"/>
          <w:lang w:val="en-US" w:eastAsia="zh-CN"/>
        </w:rPr>
        <w:t>的</w:t>
      </w:r>
      <w:r>
        <w:rPr>
          <w:rFonts w:ascii="仿宋_GB2312" w:hAnsi="宋体" w:eastAsia="仿宋_GB2312" w:cs="宋体"/>
          <w:color w:val="000000"/>
          <w:kern w:val="0"/>
          <w:sz w:val="32"/>
          <w:szCs w:val="32"/>
        </w:rPr>
        <w:t>重要课题</w:t>
      </w:r>
      <w:r>
        <w:rPr>
          <w:rFonts w:hint="eastAsia" w:hAnsi="宋体" w:cs="宋体"/>
          <w:color w:val="000000"/>
          <w:kern w:val="0"/>
          <w:sz w:val="32"/>
          <w:szCs w:val="32"/>
          <w:lang w:val="en-US" w:eastAsia="zh-CN"/>
        </w:rPr>
        <w:t>进行调查研究</w:t>
      </w:r>
      <w:r>
        <w:rPr>
          <w:rFonts w:hint="eastAsia" w:hAnsi="宋体" w:cs="宋体"/>
          <w:color w:val="000000"/>
          <w:kern w:val="0"/>
          <w:sz w:val="32"/>
          <w:szCs w:val="32"/>
          <w:lang w:eastAsia="zh-CN"/>
        </w:rPr>
        <w:t>，</w:t>
      </w:r>
      <w:r>
        <w:rPr>
          <w:rFonts w:hint="eastAsia" w:hAnsi="宋体" w:cs="宋体"/>
          <w:color w:val="000000"/>
          <w:kern w:val="0"/>
          <w:sz w:val="32"/>
          <w:szCs w:val="32"/>
          <w:lang w:val="en-US" w:eastAsia="zh-CN"/>
        </w:rPr>
        <w:t>推进防震减灾科普宣传工作，切实提高人民群众防震减灾意识</w:t>
      </w:r>
      <w:r>
        <w:rPr>
          <w:rFonts w:hint="eastAsia" w:ascii="仿宋_GB2312" w:hAnsi="宋体" w:eastAsia="仿宋_GB2312" w:cs="宋体"/>
          <w:color w:val="000000"/>
          <w:kern w:val="0"/>
          <w:sz w:val="32"/>
          <w:szCs w:val="32"/>
          <w:lang w:eastAsia="zh-CN"/>
        </w:rPr>
        <w:t>。</w:t>
      </w:r>
    </w:p>
    <w:p>
      <w:pPr>
        <w:spacing w:line="578" w:lineRule="exact"/>
        <w:ind w:firstLine="640" w:firstLineChars="200"/>
        <w:rPr>
          <w:szCs w:val="32"/>
          <w:highlight w:val="none"/>
        </w:rPr>
      </w:pPr>
      <w:r>
        <w:rPr>
          <w:rFonts w:hint="eastAsia"/>
          <w:szCs w:val="32"/>
          <w:highlight w:val="none"/>
        </w:rPr>
        <w:t>（</w:t>
      </w:r>
      <w:r>
        <w:rPr>
          <w:rFonts w:hint="eastAsia"/>
          <w:szCs w:val="32"/>
          <w:highlight w:val="none"/>
          <w:lang w:eastAsia="zh-CN"/>
        </w:rPr>
        <w:t>二</w:t>
      </w:r>
      <w:r>
        <w:rPr>
          <w:rFonts w:hint="eastAsia"/>
          <w:szCs w:val="32"/>
          <w:highlight w:val="none"/>
        </w:rPr>
        <w:t>）项目资金到位情况分析</w:t>
      </w:r>
    </w:p>
    <w:p>
      <w:pPr>
        <w:spacing w:line="578" w:lineRule="exact"/>
        <w:rPr>
          <w:szCs w:val="32"/>
        </w:rPr>
      </w:pPr>
      <w:r>
        <w:rPr>
          <w:rFonts w:hint="eastAsia"/>
          <w:szCs w:val="32"/>
        </w:rPr>
        <w:t xml:space="preserve">    本项目实施时间为2021年1月至2021年12月。全部系海南省财政拨款，计划投资额96.93万元，实际到位金额96.93万元。</w:t>
      </w:r>
    </w:p>
    <w:p>
      <w:pPr>
        <w:spacing w:line="578" w:lineRule="exact"/>
        <w:ind w:firstLine="640" w:firstLineChars="200"/>
        <w:rPr>
          <w:szCs w:val="32"/>
          <w:highlight w:val="none"/>
        </w:rPr>
      </w:pPr>
      <w:r>
        <w:rPr>
          <w:rFonts w:hint="eastAsia"/>
          <w:szCs w:val="32"/>
        </w:rPr>
        <w:t>（</w:t>
      </w:r>
      <w:r>
        <w:rPr>
          <w:rFonts w:hint="eastAsia"/>
          <w:szCs w:val="32"/>
          <w:lang w:eastAsia="zh-CN"/>
        </w:rPr>
        <w:t>三</w:t>
      </w:r>
      <w:r>
        <w:rPr>
          <w:rFonts w:hint="eastAsia"/>
          <w:szCs w:val="32"/>
        </w:rPr>
        <w:t>）</w:t>
      </w:r>
      <w:r>
        <w:rPr>
          <w:rFonts w:hint="eastAsia"/>
          <w:szCs w:val="32"/>
          <w:highlight w:val="none"/>
        </w:rPr>
        <w:t>项目资金使用情况分析</w:t>
      </w:r>
    </w:p>
    <w:p>
      <w:pPr>
        <w:spacing w:line="578" w:lineRule="exact"/>
        <w:rPr>
          <w:szCs w:val="32"/>
        </w:rPr>
      </w:pPr>
      <w:r>
        <w:rPr>
          <w:rFonts w:hint="eastAsia"/>
          <w:szCs w:val="32"/>
        </w:rPr>
        <w:t xml:space="preserve">                                       单位：万元</w:t>
      </w:r>
    </w:p>
    <w:tbl>
      <w:tblPr>
        <w:tblStyle w:val="9"/>
        <w:tblW w:w="6700" w:type="dxa"/>
        <w:jc w:val="center"/>
        <w:tblLayout w:type="fixed"/>
        <w:tblCellMar>
          <w:top w:w="0" w:type="dxa"/>
          <w:left w:w="108" w:type="dxa"/>
          <w:bottom w:w="0" w:type="dxa"/>
          <w:right w:w="108" w:type="dxa"/>
        </w:tblCellMar>
      </w:tblPr>
      <w:tblGrid>
        <w:gridCol w:w="758"/>
        <w:gridCol w:w="2520"/>
        <w:gridCol w:w="2022"/>
        <w:gridCol w:w="1400"/>
      </w:tblGrid>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项目</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支出经济分类名称</w:t>
            </w:r>
          </w:p>
        </w:tc>
        <w:tc>
          <w:tcPr>
            <w:tcW w:w="2022" w:type="dxa"/>
            <w:tcBorders>
              <w:top w:val="single" w:color="000000" w:sz="4" w:space="0"/>
              <w:left w:val="nil"/>
              <w:bottom w:val="single" w:color="000000" w:sz="4" w:space="0"/>
              <w:right w:val="nil"/>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2021年度支出金额</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
                <w:bCs/>
                <w:kern w:val="0"/>
                <w:sz w:val="20"/>
                <w:szCs w:val="20"/>
              </w:rPr>
            </w:pPr>
            <w:r>
              <w:rPr>
                <w:rFonts w:hint="eastAsia" w:ascii="宋体" w:hAnsi="宋体" w:eastAsia="宋体" w:cs="Arial"/>
                <w:b/>
                <w:bCs/>
                <w:kern w:val="0"/>
                <w:sz w:val="20"/>
                <w:szCs w:val="20"/>
              </w:rPr>
              <w:t>支出占比</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1</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办公费</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kern w:val="0"/>
                <w:sz w:val="20"/>
                <w:szCs w:val="20"/>
              </w:rPr>
            </w:pPr>
            <w:r>
              <w:rPr>
                <w:rFonts w:hint="eastAsia" w:ascii="宋体" w:hAnsi="宋体" w:eastAsia="宋体" w:cs="Arial"/>
                <w:bCs/>
                <w:kern w:val="0"/>
                <w:sz w:val="20"/>
                <w:szCs w:val="20"/>
              </w:rPr>
              <w:t>2.80</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2"/>
                <w:szCs w:val="22"/>
              </w:rPr>
            </w:pPr>
            <w:r>
              <w:rPr>
                <w:rFonts w:hint="eastAsia"/>
                <w:sz w:val="22"/>
                <w:szCs w:val="22"/>
              </w:rPr>
              <w:t>2.89%</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2</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印刷费</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kern w:val="0"/>
                <w:sz w:val="20"/>
                <w:szCs w:val="20"/>
              </w:rPr>
            </w:pPr>
            <w:r>
              <w:rPr>
                <w:rFonts w:hint="eastAsia" w:ascii="宋体" w:hAnsi="宋体" w:eastAsia="宋体" w:cs="Arial"/>
                <w:bCs/>
                <w:kern w:val="0"/>
                <w:sz w:val="20"/>
                <w:szCs w:val="20"/>
              </w:rPr>
              <w:t>0.35</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0"/>
                <w:szCs w:val="20"/>
              </w:rPr>
            </w:pPr>
            <w:r>
              <w:rPr>
                <w:rFonts w:ascii="宋体" w:hAnsi="宋体" w:eastAsia="宋体" w:cs="Arial"/>
                <w:bCs/>
                <w:kern w:val="0"/>
                <w:sz w:val="20"/>
                <w:szCs w:val="20"/>
              </w:rPr>
              <w:t>0.36%</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3</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咨询费</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kern w:val="0"/>
                <w:sz w:val="20"/>
                <w:szCs w:val="20"/>
              </w:rPr>
            </w:pPr>
            <w:r>
              <w:rPr>
                <w:rFonts w:hint="eastAsia" w:ascii="宋体" w:hAnsi="宋体" w:eastAsia="宋体" w:cs="Arial"/>
                <w:bCs/>
                <w:kern w:val="0"/>
                <w:sz w:val="20"/>
                <w:szCs w:val="20"/>
              </w:rPr>
              <w:t>1.68</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0"/>
                <w:szCs w:val="20"/>
              </w:rPr>
            </w:pPr>
            <w:r>
              <w:rPr>
                <w:rFonts w:ascii="宋体" w:hAnsi="宋体" w:eastAsia="宋体" w:cs="Arial"/>
                <w:bCs/>
                <w:kern w:val="0"/>
                <w:sz w:val="20"/>
                <w:szCs w:val="20"/>
              </w:rPr>
              <w:t>1.73%</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4</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邮电费</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kern w:val="0"/>
                <w:sz w:val="20"/>
                <w:szCs w:val="20"/>
              </w:rPr>
            </w:pPr>
            <w:r>
              <w:rPr>
                <w:rFonts w:hint="eastAsia" w:ascii="宋体" w:hAnsi="宋体" w:eastAsia="宋体" w:cs="Arial"/>
                <w:bCs/>
                <w:kern w:val="0"/>
                <w:sz w:val="20"/>
                <w:szCs w:val="20"/>
              </w:rPr>
              <w:t>0.03</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0"/>
                <w:szCs w:val="20"/>
              </w:rPr>
            </w:pPr>
            <w:r>
              <w:rPr>
                <w:rFonts w:ascii="宋体" w:hAnsi="宋体" w:eastAsia="宋体" w:cs="Arial"/>
                <w:bCs/>
                <w:kern w:val="0"/>
                <w:sz w:val="20"/>
                <w:szCs w:val="20"/>
              </w:rPr>
              <w:t>0.03%</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5</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差旅费</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kern w:val="0"/>
                <w:sz w:val="20"/>
                <w:szCs w:val="20"/>
              </w:rPr>
            </w:pPr>
            <w:r>
              <w:rPr>
                <w:rFonts w:hint="eastAsia" w:ascii="宋体" w:hAnsi="宋体" w:eastAsia="宋体" w:cs="Arial"/>
                <w:bCs/>
                <w:kern w:val="0"/>
                <w:sz w:val="20"/>
                <w:szCs w:val="20"/>
              </w:rPr>
              <w:t>12.23</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0"/>
                <w:szCs w:val="20"/>
              </w:rPr>
            </w:pPr>
            <w:r>
              <w:rPr>
                <w:rFonts w:ascii="宋体" w:hAnsi="宋体" w:eastAsia="宋体" w:cs="Arial"/>
                <w:bCs/>
                <w:kern w:val="0"/>
                <w:sz w:val="20"/>
                <w:szCs w:val="20"/>
              </w:rPr>
              <w:t>12.62%</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6</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维修（护）费</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kern w:val="0"/>
                <w:sz w:val="20"/>
                <w:szCs w:val="20"/>
              </w:rPr>
            </w:pPr>
            <w:r>
              <w:rPr>
                <w:rFonts w:hint="eastAsia" w:ascii="宋体" w:hAnsi="宋体" w:eastAsia="宋体" w:cs="Arial"/>
                <w:bCs/>
                <w:kern w:val="0"/>
                <w:sz w:val="20"/>
                <w:szCs w:val="20"/>
              </w:rPr>
              <w:t>9.35</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0"/>
                <w:szCs w:val="20"/>
              </w:rPr>
            </w:pPr>
            <w:r>
              <w:rPr>
                <w:rFonts w:ascii="宋体" w:hAnsi="宋体" w:eastAsia="宋体" w:cs="Arial"/>
                <w:bCs/>
                <w:kern w:val="0"/>
                <w:sz w:val="20"/>
                <w:szCs w:val="20"/>
              </w:rPr>
              <w:t>9.65%</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7</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培训费</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kern w:val="0"/>
                <w:sz w:val="20"/>
                <w:szCs w:val="20"/>
              </w:rPr>
            </w:pPr>
            <w:r>
              <w:rPr>
                <w:rFonts w:hint="eastAsia" w:ascii="宋体" w:hAnsi="宋体" w:eastAsia="宋体" w:cs="Arial"/>
                <w:bCs/>
                <w:kern w:val="0"/>
                <w:sz w:val="20"/>
                <w:szCs w:val="20"/>
              </w:rPr>
              <w:t>19.43</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0"/>
                <w:szCs w:val="20"/>
              </w:rPr>
            </w:pPr>
            <w:r>
              <w:rPr>
                <w:rFonts w:ascii="宋体" w:hAnsi="宋体" w:eastAsia="宋体" w:cs="Arial"/>
                <w:bCs/>
                <w:kern w:val="0"/>
                <w:sz w:val="20"/>
                <w:szCs w:val="20"/>
              </w:rPr>
              <w:t>20.05%</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8</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专用材料费</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kern w:val="0"/>
                <w:sz w:val="20"/>
                <w:szCs w:val="20"/>
              </w:rPr>
            </w:pPr>
            <w:r>
              <w:rPr>
                <w:rFonts w:hint="eastAsia" w:ascii="宋体" w:hAnsi="宋体" w:eastAsia="宋体" w:cs="Arial"/>
                <w:bCs/>
                <w:kern w:val="0"/>
                <w:sz w:val="20"/>
                <w:szCs w:val="20"/>
              </w:rPr>
              <w:t>0.16</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0"/>
                <w:szCs w:val="20"/>
              </w:rPr>
            </w:pPr>
            <w:r>
              <w:rPr>
                <w:rFonts w:ascii="宋体" w:hAnsi="宋体" w:eastAsia="宋体" w:cs="Arial"/>
                <w:bCs/>
                <w:kern w:val="0"/>
                <w:sz w:val="20"/>
                <w:szCs w:val="20"/>
              </w:rPr>
              <w:t>0.17%</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9</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委托业务费</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kern w:val="0"/>
                <w:sz w:val="20"/>
                <w:szCs w:val="20"/>
              </w:rPr>
            </w:pPr>
            <w:r>
              <w:rPr>
                <w:rFonts w:hint="eastAsia" w:ascii="宋体" w:hAnsi="宋体" w:eastAsia="宋体" w:cs="Arial"/>
                <w:bCs/>
                <w:kern w:val="0"/>
                <w:sz w:val="20"/>
                <w:szCs w:val="20"/>
              </w:rPr>
              <w:t>22.9</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0"/>
                <w:szCs w:val="20"/>
              </w:rPr>
            </w:pPr>
            <w:r>
              <w:rPr>
                <w:rFonts w:ascii="宋体" w:hAnsi="宋体" w:eastAsia="宋体" w:cs="Arial"/>
                <w:bCs/>
                <w:kern w:val="0"/>
                <w:sz w:val="20"/>
                <w:szCs w:val="20"/>
              </w:rPr>
              <w:t>23.63%</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10</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其他交通费用</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kern w:val="0"/>
                <w:sz w:val="20"/>
                <w:szCs w:val="20"/>
              </w:rPr>
            </w:pPr>
            <w:r>
              <w:rPr>
                <w:rFonts w:hint="eastAsia" w:ascii="宋体" w:hAnsi="宋体" w:eastAsia="宋体" w:cs="Arial"/>
                <w:bCs/>
                <w:kern w:val="0"/>
                <w:sz w:val="20"/>
                <w:szCs w:val="20"/>
              </w:rPr>
              <w:t>2.03</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0"/>
                <w:szCs w:val="20"/>
              </w:rPr>
            </w:pPr>
            <w:r>
              <w:rPr>
                <w:rFonts w:ascii="宋体" w:hAnsi="宋体" w:eastAsia="宋体" w:cs="Arial"/>
                <w:bCs/>
                <w:kern w:val="0"/>
                <w:sz w:val="20"/>
                <w:szCs w:val="20"/>
              </w:rPr>
              <w:t>2.09%</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11</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其他商品和服务支出</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kern w:val="0"/>
                <w:sz w:val="20"/>
                <w:szCs w:val="20"/>
              </w:rPr>
            </w:pPr>
            <w:r>
              <w:rPr>
                <w:rFonts w:hint="eastAsia" w:ascii="宋体" w:hAnsi="宋体" w:eastAsia="宋体" w:cs="Arial"/>
                <w:bCs/>
                <w:kern w:val="0"/>
                <w:sz w:val="20"/>
                <w:szCs w:val="20"/>
              </w:rPr>
              <w:t>3.52</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0"/>
                <w:szCs w:val="20"/>
              </w:rPr>
            </w:pPr>
            <w:r>
              <w:rPr>
                <w:rFonts w:ascii="宋体" w:hAnsi="宋体" w:eastAsia="宋体" w:cs="Arial"/>
                <w:bCs/>
                <w:kern w:val="0"/>
                <w:sz w:val="20"/>
                <w:szCs w:val="20"/>
              </w:rPr>
              <w:t>3.63%</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12</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办公设备购置</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kern w:val="0"/>
                <w:sz w:val="20"/>
                <w:szCs w:val="20"/>
              </w:rPr>
            </w:pPr>
            <w:r>
              <w:rPr>
                <w:rFonts w:hint="eastAsia" w:ascii="宋体" w:hAnsi="宋体" w:eastAsia="宋体" w:cs="Arial"/>
                <w:bCs/>
                <w:kern w:val="0"/>
                <w:sz w:val="20"/>
                <w:szCs w:val="20"/>
              </w:rPr>
              <w:t>19.43</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0"/>
                <w:szCs w:val="20"/>
              </w:rPr>
            </w:pPr>
            <w:r>
              <w:rPr>
                <w:rFonts w:ascii="宋体" w:hAnsi="宋体" w:eastAsia="宋体" w:cs="Arial"/>
                <w:bCs/>
                <w:kern w:val="0"/>
                <w:sz w:val="20"/>
                <w:szCs w:val="20"/>
              </w:rPr>
              <w:t>20.05%</w:t>
            </w:r>
          </w:p>
        </w:tc>
      </w:tr>
      <w:tr>
        <w:tblPrEx>
          <w:tblCellMar>
            <w:top w:w="0" w:type="dxa"/>
            <w:left w:w="108" w:type="dxa"/>
            <w:bottom w:w="0" w:type="dxa"/>
            <w:right w:w="108" w:type="dxa"/>
          </w:tblCellMar>
        </w:tblPrEx>
        <w:trPr>
          <w:trHeight w:val="480" w:hRule="atLeast"/>
          <w:jc w:val="center"/>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13</w:t>
            </w:r>
          </w:p>
        </w:tc>
        <w:tc>
          <w:tcPr>
            <w:tcW w:w="25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bCs/>
                <w:kern w:val="0"/>
                <w:sz w:val="20"/>
                <w:szCs w:val="20"/>
              </w:rPr>
            </w:pPr>
            <w:r>
              <w:rPr>
                <w:rFonts w:hint="eastAsia" w:ascii="宋体" w:hAnsi="宋体" w:eastAsia="宋体" w:cs="Arial"/>
                <w:bCs/>
                <w:kern w:val="0"/>
                <w:sz w:val="20"/>
                <w:szCs w:val="20"/>
              </w:rPr>
              <w:t>无形资产购置</w:t>
            </w:r>
          </w:p>
        </w:tc>
        <w:tc>
          <w:tcPr>
            <w:tcW w:w="2022" w:type="dxa"/>
            <w:tcBorders>
              <w:top w:val="single" w:color="000000" w:sz="4" w:space="0"/>
              <w:left w:val="nil"/>
              <w:bottom w:val="single" w:color="000000" w:sz="4" w:space="0"/>
              <w:right w:val="nil"/>
            </w:tcBorders>
            <w:shd w:val="clear" w:color="auto" w:fill="auto"/>
            <w:vAlign w:val="center"/>
          </w:tcPr>
          <w:p>
            <w:pPr>
              <w:jc w:val="center"/>
              <w:rPr>
                <w:rFonts w:ascii="宋体" w:hAnsi="宋体" w:eastAsia="宋体" w:cs="Arial"/>
                <w:bCs/>
                <w:kern w:val="0"/>
                <w:sz w:val="20"/>
                <w:szCs w:val="20"/>
              </w:rPr>
            </w:pPr>
            <w:r>
              <w:rPr>
                <w:rFonts w:hint="eastAsia" w:ascii="宋体" w:hAnsi="宋体" w:eastAsia="宋体" w:cs="Arial"/>
                <w:bCs/>
                <w:kern w:val="0"/>
                <w:sz w:val="20"/>
                <w:szCs w:val="20"/>
              </w:rPr>
              <w:t>3.00</w:t>
            </w:r>
          </w:p>
        </w:tc>
        <w:tc>
          <w:tcPr>
            <w:tcW w:w="1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bCs/>
                <w:kern w:val="0"/>
                <w:sz w:val="20"/>
                <w:szCs w:val="20"/>
              </w:rPr>
            </w:pPr>
            <w:r>
              <w:rPr>
                <w:rFonts w:ascii="宋体" w:hAnsi="宋体" w:eastAsia="宋体" w:cs="Arial"/>
                <w:bCs/>
                <w:kern w:val="0"/>
                <w:sz w:val="20"/>
                <w:szCs w:val="20"/>
              </w:rPr>
              <w:t>3.10%</w:t>
            </w:r>
          </w:p>
        </w:tc>
      </w:tr>
      <w:tr>
        <w:tblPrEx>
          <w:tblCellMar>
            <w:top w:w="0" w:type="dxa"/>
            <w:left w:w="108" w:type="dxa"/>
            <w:bottom w:w="0" w:type="dxa"/>
            <w:right w:w="108" w:type="dxa"/>
          </w:tblCellMar>
        </w:tblPrEx>
        <w:trPr>
          <w:trHeight w:val="405" w:hRule="atLeast"/>
          <w:jc w:val="center"/>
        </w:trPr>
        <w:tc>
          <w:tcPr>
            <w:tcW w:w="75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2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kern w:val="0"/>
                <w:sz w:val="18"/>
                <w:szCs w:val="18"/>
              </w:rPr>
            </w:pPr>
            <w:r>
              <w:rPr>
                <w:rFonts w:hint="eastAsia" w:ascii="宋体" w:hAnsi="宋体" w:eastAsia="宋体" w:cs="Arial"/>
                <w:kern w:val="0"/>
                <w:sz w:val="20"/>
                <w:szCs w:val="20"/>
              </w:rPr>
              <w:t>合计</w:t>
            </w:r>
          </w:p>
        </w:tc>
        <w:tc>
          <w:tcPr>
            <w:tcW w:w="2022" w:type="dxa"/>
            <w:tcBorders>
              <w:top w:val="nil"/>
              <w:left w:val="nil"/>
              <w:bottom w:val="single" w:color="000000" w:sz="4" w:space="0"/>
              <w:right w:val="nil"/>
            </w:tcBorders>
            <w:shd w:val="clear" w:color="auto" w:fill="auto"/>
            <w:vAlign w:val="center"/>
          </w:tcPr>
          <w:p>
            <w:pPr>
              <w:jc w:val="center"/>
              <w:rPr>
                <w:rFonts w:ascii="宋体" w:hAnsi="宋体" w:eastAsia="宋体" w:cs="Arial"/>
                <w:bCs/>
                <w:kern w:val="0"/>
                <w:sz w:val="20"/>
                <w:szCs w:val="20"/>
              </w:rPr>
            </w:pPr>
            <w:r>
              <w:rPr>
                <w:rFonts w:hint="eastAsia" w:ascii="宋体" w:hAnsi="宋体" w:eastAsia="宋体" w:cs="Arial"/>
                <w:bCs/>
                <w:kern w:val="0"/>
                <w:sz w:val="20"/>
                <w:szCs w:val="20"/>
              </w:rPr>
              <w:t>96.91</w:t>
            </w:r>
          </w:p>
        </w:tc>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100%</w:t>
            </w:r>
          </w:p>
        </w:tc>
      </w:tr>
    </w:tbl>
    <w:p>
      <w:pPr>
        <w:spacing w:line="578" w:lineRule="exact"/>
        <w:ind w:firstLine="640" w:firstLineChars="200"/>
        <w:rPr>
          <w:szCs w:val="32"/>
        </w:rPr>
      </w:pPr>
      <w:r>
        <w:rPr>
          <w:szCs w:val="32"/>
        </w:rPr>
        <w:t>20</w:t>
      </w:r>
      <w:r>
        <w:rPr>
          <w:rFonts w:hint="eastAsia"/>
          <w:szCs w:val="32"/>
        </w:rPr>
        <w:t>21</w:t>
      </w:r>
      <w:r>
        <w:rPr>
          <w:szCs w:val="32"/>
        </w:rPr>
        <w:t>年</w:t>
      </w:r>
      <w:r>
        <w:rPr>
          <w:rFonts w:hint="eastAsia"/>
          <w:szCs w:val="32"/>
        </w:rPr>
        <w:t>地震事务运行及管理</w:t>
      </w:r>
      <w:r>
        <w:rPr>
          <w:szCs w:val="32"/>
        </w:rPr>
        <w:t>项目总投资额</w:t>
      </w:r>
      <w:r>
        <w:rPr>
          <w:rFonts w:hint="eastAsia"/>
          <w:szCs w:val="32"/>
        </w:rPr>
        <w:t>96.93万</w:t>
      </w:r>
      <w:r>
        <w:rPr>
          <w:szCs w:val="32"/>
        </w:rPr>
        <w:t>元，截至20</w:t>
      </w:r>
      <w:r>
        <w:rPr>
          <w:rFonts w:hint="eastAsia"/>
          <w:szCs w:val="32"/>
        </w:rPr>
        <w:t>21</w:t>
      </w:r>
      <w:r>
        <w:rPr>
          <w:szCs w:val="32"/>
        </w:rPr>
        <w:t>年12月31日，完成投资共计</w:t>
      </w:r>
      <w:r>
        <w:rPr>
          <w:rFonts w:hint="eastAsia"/>
          <w:szCs w:val="32"/>
        </w:rPr>
        <w:t>96.91万</w:t>
      </w:r>
      <w:r>
        <w:rPr>
          <w:szCs w:val="32"/>
        </w:rPr>
        <w:t>元，占项目总投资额</w:t>
      </w:r>
      <w:r>
        <w:rPr>
          <w:rFonts w:hint="eastAsia"/>
          <w:szCs w:val="32"/>
        </w:rPr>
        <w:t>99.98</w:t>
      </w:r>
      <w:r>
        <w:rPr>
          <w:szCs w:val="32"/>
        </w:rPr>
        <w:t>%。项目执行进度</w:t>
      </w:r>
      <w:r>
        <w:rPr>
          <w:rFonts w:hint="eastAsia"/>
          <w:szCs w:val="32"/>
        </w:rPr>
        <w:t>较</w:t>
      </w:r>
      <w:r>
        <w:rPr>
          <w:szCs w:val="32"/>
        </w:rPr>
        <w:t>好，</w:t>
      </w:r>
      <w:r>
        <w:rPr>
          <w:rFonts w:hint="eastAsia"/>
          <w:szCs w:val="32"/>
        </w:rPr>
        <w:t>高效</w:t>
      </w:r>
      <w:r>
        <w:rPr>
          <w:szCs w:val="32"/>
        </w:rPr>
        <w:t>完成全年项目计划目标。</w:t>
      </w:r>
    </w:p>
    <w:p>
      <w:pPr>
        <w:ind w:firstLine="640" w:firstLineChars="200"/>
        <w:rPr>
          <w:rFonts w:hint="eastAsia"/>
          <w:szCs w:val="32"/>
        </w:rPr>
      </w:pPr>
      <w:r>
        <w:rPr>
          <w:szCs w:val="32"/>
        </w:rPr>
        <w:t>1</w:t>
      </w:r>
      <w:r>
        <w:rPr>
          <w:rFonts w:hint="eastAsia"/>
          <w:szCs w:val="32"/>
        </w:rPr>
        <w:t>.办公费：用于地震事务运行、编制防震减灾规划目标及项目体系等日常办公用品购置及普法云平台账户开通等费用，共计2.80万元。</w:t>
      </w:r>
    </w:p>
    <w:p>
      <w:pPr>
        <w:pStyle w:val="2"/>
        <w:ind w:left="0" w:leftChars="0" w:firstLine="640" w:firstLineChars="200"/>
        <w:rPr>
          <w:rFonts w:hint="eastAsia"/>
        </w:rPr>
      </w:pPr>
      <w:r>
        <w:rPr>
          <w:rFonts w:hint="eastAsia"/>
        </w:rPr>
        <w:t>2.印刷费：用于报告、证书印刷</w:t>
      </w:r>
      <w:r>
        <w:rPr>
          <w:rFonts w:hint="eastAsia"/>
          <w:szCs w:val="32"/>
        </w:rPr>
        <w:t>等费用</w:t>
      </w:r>
      <w:r>
        <w:rPr>
          <w:rFonts w:hint="eastAsia"/>
        </w:rPr>
        <w:t>，共计0.35万元。</w:t>
      </w:r>
    </w:p>
    <w:p>
      <w:pPr>
        <w:pStyle w:val="2"/>
        <w:ind w:left="0" w:leftChars="0" w:firstLine="640" w:firstLineChars="200"/>
      </w:pPr>
      <w:r>
        <w:rPr>
          <w:rFonts w:hint="eastAsia"/>
        </w:rPr>
        <w:t>3.</w:t>
      </w:r>
      <w:r>
        <w:t>咨询费</w:t>
      </w:r>
      <w:r>
        <w:rPr>
          <w:rFonts w:hint="eastAsia"/>
        </w:rPr>
        <w:t>：</w:t>
      </w:r>
      <w:r>
        <w:t>用于专家规划咨询论证等费用</w:t>
      </w:r>
      <w:r>
        <w:rPr>
          <w:rFonts w:hint="eastAsia"/>
        </w:rPr>
        <w:t>，</w:t>
      </w:r>
      <w:r>
        <w:t>共计</w:t>
      </w:r>
      <w:r>
        <w:rPr>
          <w:rFonts w:hint="eastAsia"/>
        </w:rPr>
        <w:t>1.68万元。</w:t>
      </w:r>
    </w:p>
    <w:p>
      <w:pPr>
        <w:ind w:firstLine="640" w:firstLineChars="200"/>
        <w:rPr>
          <w:szCs w:val="32"/>
        </w:rPr>
      </w:pPr>
      <w:r>
        <w:rPr>
          <w:rFonts w:hint="eastAsia"/>
          <w:szCs w:val="32"/>
        </w:rPr>
        <w:t>4.邮电费：用于</w:t>
      </w:r>
      <w:r>
        <w:rPr>
          <w:szCs w:val="32"/>
        </w:rPr>
        <w:t>与中国地震局</w:t>
      </w:r>
      <w:r>
        <w:rPr>
          <w:rFonts w:hint="eastAsia"/>
          <w:szCs w:val="32"/>
        </w:rPr>
        <w:t>、</w:t>
      </w:r>
      <w:r>
        <w:rPr>
          <w:szCs w:val="32"/>
        </w:rPr>
        <w:t>46个系统内单位</w:t>
      </w:r>
      <w:r>
        <w:rPr>
          <w:rFonts w:hint="eastAsia"/>
          <w:szCs w:val="32"/>
        </w:rPr>
        <w:t>及市县</w:t>
      </w:r>
      <w:r>
        <w:rPr>
          <w:szCs w:val="32"/>
        </w:rPr>
        <w:t>地震局业务往来特快及普通邮寄</w:t>
      </w:r>
      <w:r>
        <w:rPr>
          <w:rFonts w:hint="eastAsia"/>
          <w:szCs w:val="32"/>
        </w:rPr>
        <w:t>等费用，共计0.03万元。</w:t>
      </w:r>
    </w:p>
    <w:p>
      <w:pPr>
        <w:spacing w:line="578" w:lineRule="exact"/>
        <w:ind w:firstLine="640" w:firstLineChars="200"/>
        <w:rPr>
          <w:szCs w:val="32"/>
        </w:rPr>
      </w:pPr>
      <w:r>
        <w:rPr>
          <w:rFonts w:hint="eastAsia"/>
          <w:szCs w:val="32"/>
        </w:rPr>
        <w:t>5.差旅费：为完成全省地震事务运行及管理</w:t>
      </w:r>
      <w:r>
        <w:rPr>
          <w:rFonts w:hint="eastAsia"/>
          <w:szCs w:val="32"/>
          <w:lang w:val="en-US" w:eastAsia="zh-CN"/>
        </w:rPr>
        <w:t>的</w:t>
      </w:r>
      <w:r>
        <w:rPr>
          <w:rFonts w:hint="eastAsia"/>
          <w:szCs w:val="32"/>
        </w:rPr>
        <w:t>目标、项目体系和重点项目科研报告，指导全省市县做好防震减灾规划编制及重点项目衔接工作专家、业务交流学者差旅费；开展修法、立法调研工作、省内外调研及相关经费；地震应急、地震监测设施与观测环境执法专项检查以及开展地震各项业务专项工作所发生的省内外调研等费用，共计12.23万元。</w:t>
      </w:r>
    </w:p>
    <w:p>
      <w:pPr>
        <w:spacing w:line="578" w:lineRule="exact"/>
        <w:ind w:firstLine="640" w:firstLineChars="200"/>
        <w:rPr>
          <w:szCs w:val="32"/>
        </w:rPr>
      </w:pPr>
      <w:r>
        <w:rPr>
          <w:rFonts w:hint="eastAsia"/>
          <w:szCs w:val="32"/>
        </w:rPr>
        <w:t>6.维修（护）费：用于地震事务运行及管理</w:t>
      </w:r>
      <w:r>
        <w:rPr>
          <w:rFonts w:hint="eastAsia"/>
          <w:szCs w:val="32"/>
          <w:lang w:val="en-US" w:eastAsia="zh-CN"/>
        </w:rPr>
        <w:t>的</w:t>
      </w:r>
      <w:r>
        <w:rPr>
          <w:rFonts w:hint="eastAsia"/>
          <w:szCs w:val="32"/>
        </w:rPr>
        <w:t>日常办公设备维修维护费；</w:t>
      </w:r>
      <w:r>
        <w:t>农居安服信息系统运维</w:t>
      </w:r>
      <w:r>
        <w:rPr>
          <w:rFonts w:hint="eastAsia"/>
        </w:rPr>
        <w:t>、</w:t>
      </w:r>
      <w:r>
        <w:t>地震信息支撑平台服务运维</w:t>
      </w:r>
      <w:r>
        <w:rPr>
          <w:szCs w:val="32"/>
        </w:rPr>
        <w:t>等</w:t>
      </w:r>
      <w:r>
        <w:rPr>
          <w:rFonts w:hint="eastAsia"/>
          <w:szCs w:val="32"/>
        </w:rPr>
        <w:t>费用，</w:t>
      </w:r>
      <w:r>
        <w:rPr>
          <w:szCs w:val="32"/>
        </w:rPr>
        <w:t>共计</w:t>
      </w:r>
      <w:r>
        <w:rPr>
          <w:rFonts w:hint="eastAsia"/>
          <w:szCs w:val="32"/>
        </w:rPr>
        <w:t>9.35万元</w:t>
      </w:r>
      <w:r>
        <w:rPr>
          <w:szCs w:val="32"/>
        </w:rPr>
        <w:t>。</w:t>
      </w:r>
    </w:p>
    <w:p>
      <w:pPr>
        <w:spacing w:line="578" w:lineRule="exact"/>
        <w:ind w:firstLine="640" w:firstLineChars="200"/>
        <w:rPr>
          <w:rFonts w:hint="eastAsia"/>
          <w:szCs w:val="32"/>
        </w:rPr>
      </w:pPr>
      <w:r>
        <w:rPr>
          <w:rFonts w:hint="eastAsia"/>
          <w:szCs w:val="32"/>
        </w:rPr>
        <w:t>7.培训费：用于</w:t>
      </w:r>
      <w:r>
        <w:t>防震减灾科普示范学校创建培训班</w:t>
      </w:r>
      <w:r>
        <w:rPr>
          <w:rFonts w:hint="eastAsia"/>
        </w:rPr>
        <w:t>；</w:t>
      </w:r>
      <w:r>
        <w:t>海南省2021年市县防震减灾工作培训班等</w:t>
      </w:r>
      <w:r>
        <w:rPr>
          <w:rFonts w:hint="eastAsia"/>
          <w:szCs w:val="32"/>
        </w:rPr>
        <w:t>费用</w:t>
      </w:r>
      <w:r>
        <w:rPr>
          <w:rFonts w:hint="eastAsia"/>
        </w:rPr>
        <w:t>，</w:t>
      </w:r>
      <w:r>
        <w:t>共计</w:t>
      </w:r>
      <w:r>
        <w:rPr>
          <w:rFonts w:hint="eastAsia"/>
        </w:rPr>
        <w:t>19.43万元。</w:t>
      </w:r>
    </w:p>
    <w:p>
      <w:pPr>
        <w:ind w:firstLine="640" w:firstLineChars="200"/>
        <w:rPr>
          <w:rFonts w:hint="eastAsia"/>
          <w:szCs w:val="32"/>
        </w:rPr>
      </w:pPr>
      <w:r>
        <w:rPr>
          <w:rFonts w:hint="eastAsia"/>
          <w:szCs w:val="32"/>
        </w:rPr>
        <w:t>8.专用材料费：用于办公耗材等费用，共计0.16万元</w:t>
      </w:r>
      <w:r>
        <w:rPr>
          <w:szCs w:val="32"/>
        </w:rPr>
        <w:t>。</w:t>
      </w:r>
    </w:p>
    <w:p>
      <w:pPr>
        <w:ind w:firstLine="640" w:firstLineChars="200"/>
        <w:rPr>
          <w:rFonts w:hint="eastAsia"/>
        </w:rPr>
      </w:pPr>
      <w:r>
        <w:rPr>
          <w:rFonts w:hint="eastAsia"/>
          <w:szCs w:val="32"/>
        </w:rPr>
        <w:t>9.委托业务费：用于</w:t>
      </w:r>
      <w:r>
        <w:rPr>
          <w:szCs w:val="32"/>
        </w:rPr>
        <w:t>地震科普动画片制作</w:t>
      </w:r>
      <w:r>
        <w:rPr>
          <w:rFonts w:hint="eastAsia"/>
          <w:szCs w:val="32"/>
        </w:rPr>
        <w:t>；</w:t>
      </w:r>
      <w:r>
        <w:t>5.12防灾减灾日活动期间科普宣传片电视台</w:t>
      </w:r>
      <w:r>
        <w:rPr>
          <w:rFonts w:hint="eastAsia"/>
        </w:rPr>
        <w:t>、</w:t>
      </w:r>
      <w:r>
        <w:t>车站、码头大屏幕播放及宣传活动服务</w:t>
      </w:r>
      <w:r>
        <w:rPr>
          <w:rFonts w:hint="eastAsia"/>
          <w:szCs w:val="32"/>
        </w:rPr>
        <w:t>等费用</w:t>
      </w:r>
      <w:r>
        <w:rPr>
          <w:rFonts w:hint="eastAsia"/>
        </w:rPr>
        <w:t>，</w:t>
      </w:r>
      <w:r>
        <w:t>共计</w:t>
      </w:r>
      <w:r>
        <w:rPr>
          <w:rFonts w:hint="eastAsia"/>
        </w:rPr>
        <w:t>22.90万元。</w:t>
      </w:r>
    </w:p>
    <w:p>
      <w:pPr>
        <w:ind w:firstLine="640" w:firstLineChars="200"/>
        <w:rPr>
          <w:rFonts w:hint="eastAsia"/>
          <w:szCs w:val="32"/>
        </w:rPr>
      </w:pPr>
      <w:r>
        <w:rPr>
          <w:rFonts w:hint="eastAsia"/>
        </w:rPr>
        <w:t>10.其他交通费用：</w:t>
      </w:r>
      <w:r>
        <w:rPr>
          <w:rFonts w:hint="eastAsia"/>
          <w:szCs w:val="32"/>
        </w:rPr>
        <w:t>用于修法、立法调研工作、防震减灾科普宣传、调研租车等费用，共计2.03万元。</w:t>
      </w:r>
    </w:p>
    <w:p>
      <w:pPr>
        <w:ind w:firstLine="640" w:firstLineChars="200"/>
        <w:rPr>
          <w:rFonts w:hint="eastAsia"/>
          <w:color w:val="FF0000"/>
          <w:szCs w:val="32"/>
        </w:rPr>
      </w:pPr>
      <w:r>
        <w:rPr>
          <w:rFonts w:hint="eastAsia"/>
          <w:szCs w:val="32"/>
        </w:rPr>
        <w:t>11.其他商品和服务支出：用于</w:t>
      </w:r>
      <w:r>
        <w:rPr>
          <w:szCs w:val="32"/>
        </w:rPr>
        <w:t>防震</w:t>
      </w:r>
      <w:r>
        <w:t>减灾电影宣传放映</w:t>
      </w:r>
      <w:r>
        <w:rPr>
          <w:rFonts w:hint="eastAsia"/>
        </w:rPr>
        <w:t>、</w:t>
      </w:r>
      <w:r>
        <w:t>活动标识制作</w:t>
      </w:r>
      <w:r>
        <w:rPr>
          <w:rFonts w:hint="eastAsia"/>
          <w:szCs w:val="32"/>
        </w:rPr>
        <w:t>等费用</w:t>
      </w:r>
      <w:r>
        <w:rPr>
          <w:rFonts w:hint="eastAsia"/>
        </w:rPr>
        <w:t>，</w:t>
      </w:r>
      <w:r>
        <w:t>共计</w:t>
      </w:r>
      <w:r>
        <w:rPr>
          <w:rFonts w:hint="eastAsia"/>
        </w:rPr>
        <w:t>3.52万元。</w:t>
      </w:r>
    </w:p>
    <w:p>
      <w:pPr>
        <w:spacing w:line="578" w:lineRule="exact"/>
        <w:ind w:firstLine="640" w:firstLineChars="200"/>
        <w:rPr>
          <w:rFonts w:hint="eastAsia"/>
          <w:szCs w:val="32"/>
        </w:rPr>
      </w:pPr>
      <w:r>
        <w:rPr>
          <w:rFonts w:hint="eastAsia"/>
          <w:szCs w:val="32"/>
        </w:rPr>
        <w:t>12.办公设备</w:t>
      </w:r>
      <w:r>
        <w:rPr>
          <w:szCs w:val="32"/>
        </w:rPr>
        <w:t>购置</w:t>
      </w:r>
      <w:r>
        <w:rPr>
          <w:rFonts w:hint="eastAsia"/>
          <w:szCs w:val="32"/>
        </w:rPr>
        <w:t>：用于购置办公用台式机、笔记本电脑、复印机等费用，共计19.43万元。</w:t>
      </w:r>
    </w:p>
    <w:p>
      <w:pPr>
        <w:spacing w:line="578" w:lineRule="exact"/>
        <w:ind w:firstLine="640" w:firstLineChars="200"/>
      </w:pPr>
      <w:r>
        <w:rPr>
          <w:rFonts w:hint="eastAsia"/>
          <w:szCs w:val="32"/>
        </w:rPr>
        <w:t>13.无形资产购置：用于购置</w:t>
      </w:r>
      <w:r>
        <w:rPr>
          <w:szCs w:val="32"/>
        </w:rPr>
        <w:t>管</w:t>
      </w:r>
      <w:r>
        <w:t>理信息系统</w:t>
      </w:r>
      <w:r>
        <w:rPr>
          <w:rFonts w:hint="eastAsia"/>
          <w:szCs w:val="32"/>
        </w:rPr>
        <w:t>等费用</w:t>
      </w:r>
      <w:r>
        <w:rPr>
          <w:rFonts w:hint="eastAsia"/>
        </w:rPr>
        <w:t>，</w:t>
      </w:r>
      <w:r>
        <w:t>共计</w:t>
      </w:r>
      <w:r>
        <w:rPr>
          <w:rFonts w:hint="eastAsia"/>
        </w:rPr>
        <w:t>3.00万元。</w:t>
      </w:r>
    </w:p>
    <w:p>
      <w:pPr>
        <w:spacing w:line="578" w:lineRule="exact"/>
        <w:ind w:firstLine="640" w:firstLineChars="200"/>
        <w:rPr>
          <w:szCs w:val="32"/>
        </w:rPr>
      </w:pPr>
      <w:r>
        <w:rPr>
          <w:rFonts w:hint="eastAsia"/>
          <w:szCs w:val="32"/>
        </w:rPr>
        <w:t>（</w:t>
      </w:r>
      <w:r>
        <w:rPr>
          <w:rFonts w:hint="eastAsia"/>
          <w:szCs w:val="32"/>
          <w:lang w:eastAsia="zh-CN"/>
        </w:rPr>
        <w:t>四</w:t>
      </w:r>
      <w:r>
        <w:rPr>
          <w:rFonts w:hint="eastAsia"/>
          <w:szCs w:val="32"/>
        </w:rPr>
        <w:t>）项目</w:t>
      </w:r>
      <w:r>
        <w:rPr>
          <w:szCs w:val="32"/>
        </w:rPr>
        <w:t>资金</w:t>
      </w:r>
      <w:r>
        <w:rPr>
          <w:rFonts w:hint="eastAsia"/>
          <w:szCs w:val="32"/>
        </w:rPr>
        <w:t>管理</w:t>
      </w:r>
      <w:r>
        <w:rPr>
          <w:szCs w:val="32"/>
        </w:rPr>
        <w:t>情况</w:t>
      </w:r>
      <w:r>
        <w:rPr>
          <w:rFonts w:hint="eastAsia"/>
          <w:szCs w:val="32"/>
        </w:rPr>
        <w:t>分析</w:t>
      </w:r>
    </w:p>
    <w:p>
      <w:pPr>
        <w:spacing w:line="578" w:lineRule="exact"/>
        <w:ind w:firstLine="640" w:firstLineChars="200"/>
        <w:rPr>
          <w:szCs w:val="32"/>
        </w:rPr>
      </w:pPr>
      <w:r>
        <w:rPr>
          <w:rFonts w:hint="eastAsia"/>
          <w:szCs w:val="32"/>
        </w:rPr>
        <w:t>1.地震事务运行及管理</w:t>
      </w:r>
      <w:r>
        <w:rPr>
          <w:szCs w:val="32"/>
        </w:rPr>
        <w:t>项目资金</w:t>
      </w:r>
      <w:r>
        <w:rPr>
          <w:rFonts w:hint="eastAsia"/>
          <w:szCs w:val="32"/>
        </w:rPr>
        <w:t>的</w:t>
      </w:r>
      <w:r>
        <w:rPr>
          <w:szCs w:val="32"/>
        </w:rPr>
        <w:t>执行管理由财务室专人负责，</w:t>
      </w:r>
      <w:r>
        <w:rPr>
          <w:rFonts w:hint="eastAsia"/>
          <w:szCs w:val="32"/>
        </w:rPr>
        <w:t>财务室</w:t>
      </w:r>
      <w:r>
        <w:rPr>
          <w:szCs w:val="32"/>
        </w:rPr>
        <w:t>人员配备及岗位职责</w:t>
      </w:r>
      <w:r>
        <w:rPr>
          <w:rFonts w:hint="eastAsia"/>
          <w:szCs w:val="32"/>
        </w:rPr>
        <w:t>根据</w:t>
      </w:r>
      <w:r>
        <w:rPr>
          <w:szCs w:val="32"/>
        </w:rPr>
        <w:t>《海南省地震局内部财务岗位责任制》</w:t>
      </w:r>
      <w:r>
        <w:rPr>
          <w:rFonts w:hint="eastAsia"/>
          <w:szCs w:val="32"/>
          <w:lang w:eastAsia="zh-CN"/>
        </w:rPr>
        <w:t>文件</w:t>
      </w:r>
      <w:r>
        <w:rPr>
          <w:rFonts w:hint="eastAsia"/>
          <w:szCs w:val="32"/>
        </w:rPr>
        <w:t>严格</w:t>
      </w:r>
      <w:r>
        <w:rPr>
          <w:szCs w:val="32"/>
        </w:rPr>
        <w:t>执行</w:t>
      </w:r>
      <w:r>
        <w:rPr>
          <w:rFonts w:hint="eastAsia"/>
          <w:szCs w:val="32"/>
        </w:rPr>
        <w:t>，切实做到分事行权、分岗设权、分级授权，岗位职责明确</w:t>
      </w:r>
      <w:r>
        <w:rPr>
          <w:rFonts w:hint="eastAsia" w:hAnsi="仿宋_GB2312" w:cs="仿宋_GB2312"/>
          <w:sz w:val="30"/>
          <w:szCs w:val="30"/>
        </w:rPr>
        <w:t>。</w:t>
      </w:r>
    </w:p>
    <w:p>
      <w:pPr>
        <w:spacing w:line="578" w:lineRule="exact"/>
        <w:ind w:firstLine="640" w:firstLineChars="200"/>
      </w:pPr>
      <w:r>
        <w:rPr>
          <w:rFonts w:hint="eastAsia"/>
          <w:szCs w:val="32"/>
          <w:highlight w:val="none"/>
        </w:rPr>
        <w:t>2.地震事务运行及管理项目资金的</w:t>
      </w:r>
      <w:r>
        <w:rPr>
          <w:szCs w:val="32"/>
          <w:highlight w:val="none"/>
        </w:rPr>
        <w:t>支出管理</w:t>
      </w:r>
      <w:r>
        <w:rPr>
          <w:rFonts w:hint="eastAsia"/>
          <w:szCs w:val="32"/>
          <w:highlight w:val="none"/>
        </w:rPr>
        <w:t>严格</w:t>
      </w:r>
      <w:r>
        <w:rPr>
          <w:szCs w:val="32"/>
          <w:highlight w:val="none"/>
        </w:rPr>
        <w:t>按照</w:t>
      </w:r>
      <w:r>
        <w:rPr>
          <w:rFonts w:hint="eastAsia"/>
          <w:szCs w:val="32"/>
          <w:highlight w:val="none"/>
        </w:rPr>
        <w:t>相关</w:t>
      </w:r>
      <w:r>
        <w:rPr>
          <w:szCs w:val="32"/>
          <w:highlight w:val="none"/>
        </w:rPr>
        <w:t>文件及规章制度</w:t>
      </w:r>
      <w:r>
        <w:rPr>
          <w:rFonts w:hint="eastAsia"/>
          <w:szCs w:val="32"/>
          <w:highlight w:val="none"/>
        </w:rPr>
        <w:t>执行</w:t>
      </w:r>
      <w:r>
        <w:rPr>
          <w:szCs w:val="32"/>
          <w:highlight w:val="none"/>
        </w:rPr>
        <w:t>。</w:t>
      </w:r>
      <w:r>
        <w:rPr>
          <w:rFonts w:hint="eastAsia" w:ascii="仿宋_GB2312" w:hAnsi="仿宋_GB2312" w:eastAsia="仿宋_GB2312" w:cs="仿宋_GB2312"/>
          <w:sz w:val="32"/>
          <w:szCs w:val="32"/>
          <w:highlight w:val="none"/>
        </w:rPr>
        <w:t>为进一步加强财务管理，强化财务内控机制，</w:t>
      </w:r>
      <w:r>
        <w:rPr>
          <w:rFonts w:hint="eastAsia" w:hAnsi="仿宋_GB2312" w:cs="仿宋_GB2312"/>
          <w:sz w:val="32"/>
          <w:szCs w:val="32"/>
          <w:highlight w:val="none"/>
          <w:lang w:eastAsia="zh-CN"/>
        </w:rPr>
        <w:t>我局</w:t>
      </w:r>
      <w:r>
        <w:rPr>
          <w:rFonts w:hint="eastAsia" w:ascii="仿宋_GB2312" w:hAnsi="仿宋_GB2312" w:eastAsia="仿宋_GB2312" w:cs="仿宋_GB2312"/>
          <w:sz w:val="32"/>
          <w:szCs w:val="32"/>
          <w:highlight w:val="none"/>
        </w:rPr>
        <w:t>修订完善了财务规章制度</w:t>
      </w:r>
      <w:r>
        <w:rPr>
          <w:rFonts w:hint="eastAsia" w:hAnsi="仿宋_GB2312" w:cs="仿宋_GB2312"/>
          <w:sz w:val="32"/>
          <w:szCs w:val="32"/>
          <w:highlight w:val="none"/>
          <w:lang w:eastAsia="zh-CN"/>
        </w:rPr>
        <w:t>，</w:t>
      </w:r>
      <w:r>
        <w:rPr>
          <w:rFonts w:hint="eastAsia" w:ascii="仿宋_GB2312" w:hAnsi="仿宋_GB2312" w:eastAsia="仿宋_GB2312" w:cs="仿宋_GB2312"/>
          <w:sz w:val="32"/>
          <w:szCs w:val="32"/>
          <w:highlight w:val="none"/>
        </w:rPr>
        <w:t>如</w:t>
      </w:r>
      <w:r>
        <w:rPr>
          <w:szCs w:val="32"/>
          <w:highlight w:val="none"/>
        </w:rPr>
        <w:t>《海南省地震局经费支出管理细则》</w:t>
      </w:r>
      <w:r>
        <w:rPr>
          <w:rFonts w:hint="eastAsia"/>
          <w:szCs w:val="32"/>
          <w:highlight w:val="none"/>
          <w:lang w:eastAsia="zh-CN"/>
        </w:rPr>
        <w:t>、</w:t>
      </w:r>
      <w:r>
        <w:rPr>
          <w:rFonts w:hint="eastAsia"/>
          <w:szCs w:val="32"/>
          <w:highlight w:val="none"/>
        </w:rPr>
        <w:t>《海南省地震局差旅费实施细则》</w:t>
      </w:r>
      <w:r>
        <w:rPr>
          <w:rFonts w:hint="eastAsia"/>
          <w:szCs w:val="32"/>
          <w:highlight w:val="none"/>
          <w:lang w:eastAsia="zh-CN"/>
        </w:rPr>
        <w:t>，其中</w:t>
      </w:r>
      <w:r>
        <w:rPr>
          <w:rFonts w:hint="eastAsia" w:ascii="仿宋_GB2312" w:hAnsi="仿宋_GB2312" w:eastAsia="仿宋_GB2312" w:cs="仿宋_GB2312"/>
          <w:sz w:val="32"/>
          <w:szCs w:val="32"/>
          <w:highlight w:val="none"/>
        </w:rPr>
        <w:t>《关于规范快递费报销等事项的通知》规范了本局快递费、出租车票报销事宜；按照省财政厅以及中国地震局最新财务文件要求规定，印发了《海南省地震局经济合同管理办法》、《海南省地震局公务车辆管理规定（试行）》、《海南省地震局招标与政府采购规程》等文件，修订了《海南省地震局公务用车定点租赁管理办法（试行）》等制度，</w:t>
      </w:r>
      <w:r>
        <w:rPr>
          <w:rFonts w:hint="eastAsia"/>
          <w:szCs w:val="32"/>
          <w:highlight w:val="none"/>
        </w:rPr>
        <w:t>地震事务运行及管理项目资金的</w:t>
      </w:r>
      <w:r>
        <w:rPr>
          <w:szCs w:val="32"/>
          <w:highlight w:val="none"/>
        </w:rPr>
        <w:t>支出严格执行以上文件政策。</w:t>
      </w:r>
    </w:p>
    <w:p>
      <w:pPr>
        <w:spacing w:line="578" w:lineRule="exact"/>
        <w:ind w:firstLine="640" w:firstLineChars="200"/>
        <w:rPr>
          <w:rFonts w:ascii="黑体" w:hAnsi="黑体" w:eastAsia="黑体" w:cs="黑体"/>
          <w:color w:val="000000"/>
        </w:rPr>
      </w:pPr>
      <w:r>
        <w:rPr>
          <w:rFonts w:hint="eastAsia" w:ascii="黑体" w:hAnsi="黑体" w:eastAsia="黑体" w:cs="黑体"/>
          <w:color w:val="000000"/>
        </w:rPr>
        <w:t>三、项目组织实施情况</w:t>
      </w:r>
    </w:p>
    <w:p>
      <w:pPr>
        <w:spacing w:line="578" w:lineRule="exact"/>
        <w:ind w:firstLine="640" w:firstLineChars="200"/>
        <w:outlineLvl w:val="0"/>
        <w:rPr>
          <w:bCs/>
          <w:color w:val="000000"/>
          <w:szCs w:val="32"/>
        </w:rPr>
      </w:pPr>
      <w:r>
        <w:rPr>
          <w:rFonts w:hint="eastAsia"/>
          <w:bCs/>
          <w:color w:val="000000"/>
          <w:szCs w:val="32"/>
        </w:rPr>
        <w:t>（一）项目组织情况分析</w:t>
      </w:r>
    </w:p>
    <w:p>
      <w:pPr>
        <w:spacing w:line="578" w:lineRule="exact"/>
        <w:ind w:firstLine="640" w:firstLineChars="200"/>
        <w:outlineLvl w:val="0"/>
        <w:rPr>
          <w:bCs/>
          <w:color w:val="000000"/>
          <w:szCs w:val="32"/>
        </w:rPr>
      </w:pPr>
      <w:r>
        <w:rPr>
          <w:rFonts w:hint="eastAsia"/>
          <w:szCs w:val="32"/>
        </w:rPr>
        <w:t>地震事务运行及管理</w:t>
      </w:r>
      <w:r>
        <w:rPr>
          <w:rFonts w:hint="eastAsia"/>
          <w:bCs/>
          <w:color w:val="000000"/>
          <w:szCs w:val="32"/>
        </w:rPr>
        <w:t>项目2021年无</w:t>
      </w:r>
      <w:r>
        <w:rPr>
          <w:bCs/>
          <w:color w:val="000000"/>
          <w:szCs w:val="32"/>
        </w:rPr>
        <w:t>需</w:t>
      </w:r>
      <w:r>
        <w:rPr>
          <w:rFonts w:hint="eastAsia"/>
          <w:bCs/>
          <w:color w:val="000000"/>
          <w:szCs w:val="32"/>
        </w:rPr>
        <w:t>进行招投标的事项</w:t>
      </w:r>
      <w:r>
        <w:rPr>
          <w:bCs/>
          <w:color w:val="000000"/>
          <w:szCs w:val="32"/>
        </w:rPr>
        <w:t>，其余进行政府采购</w:t>
      </w:r>
      <w:r>
        <w:rPr>
          <w:rFonts w:hint="eastAsia"/>
          <w:bCs/>
          <w:color w:val="000000"/>
          <w:szCs w:val="32"/>
        </w:rPr>
        <w:t>的</w:t>
      </w:r>
      <w:r>
        <w:rPr>
          <w:bCs/>
          <w:color w:val="000000"/>
          <w:szCs w:val="32"/>
        </w:rPr>
        <w:t>项目都</w:t>
      </w:r>
      <w:r>
        <w:rPr>
          <w:rFonts w:hint="eastAsia"/>
          <w:bCs/>
          <w:color w:val="000000"/>
          <w:szCs w:val="32"/>
        </w:rPr>
        <w:t>按时</w:t>
      </w:r>
      <w:r>
        <w:rPr>
          <w:bCs/>
          <w:color w:val="000000"/>
          <w:szCs w:val="32"/>
        </w:rPr>
        <w:t>完成</w:t>
      </w:r>
      <w:r>
        <w:rPr>
          <w:rFonts w:hint="eastAsia"/>
          <w:bCs/>
          <w:color w:val="000000"/>
          <w:szCs w:val="32"/>
        </w:rPr>
        <w:t>支出，</w:t>
      </w:r>
      <w:r>
        <w:rPr>
          <w:bCs/>
          <w:color w:val="000000"/>
          <w:szCs w:val="32"/>
        </w:rPr>
        <w:t>按时完成验收，完成全年支付计划。</w:t>
      </w:r>
    </w:p>
    <w:p>
      <w:pPr>
        <w:spacing w:line="578" w:lineRule="exact"/>
        <w:ind w:firstLine="640" w:firstLineChars="200"/>
        <w:outlineLvl w:val="0"/>
        <w:rPr>
          <w:bCs/>
          <w:szCs w:val="32"/>
        </w:rPr>
      </w:pPr>
      <w:r>
        <w:rPr>
          <w:rFonts w:hint="eastAsia"/>
          <w:bCs/>
          <w:szCs w:val="32"/>
        </w:rPr>
        <w:t>（二）项目管理情况分析</w:t>
      </w:r>
    </w:p>
    <w:p>
      <w:pPr>
        <w:ind w:firstLine="640" w:firstLineChars="200"/>
        <w:rPr>
          <w:bCs/>
          <w:szCs w:val="32"/>
        </w:rPr>
      </w:pPr>
      <w:r>
        <w:rPr>
          <w:bCs/>
          <w:szCs w:val="32"/>
        </w:rPr>
        <w:t>1</w:t>
      </w:r>
      <w:r>
        <w:rPr>
          <w:rFonts w:hint="eastAsia"/>
          <w:bCs/>
          <w:szCs w:val="32"/>
        </w:rPr>
        <w:t>.</w:t>
      </w:r>
      <w:r>
        <w:rPr>
          <w:bCs/>
          <w:szCs w:val="32"/>
        </w:rPr>
        <w:t>建立防震减灾目标责任管理制度，全面落实政府防震减灾工作责任。2011年7月，海南省政府办公厅下发了《海南省市县政府防震减灾工作考核暂行办法》，建立市县防震减灾目标责任管理制度，自2011年以来，省政府已经连续</w:t>
      </w:r>
      <w:r>
        <w:rPr>
          <w:rFonts w:hint="eastAsia"/>
          <w:bCs/>
          <w:szCs w:val="32"/>
        </w:rPr>
        <w:t>10</w:t>
      </w:r>
      <w:r>
        <w:rPr>
          <w:bCs/>
          <w:szCs w:val="32"/>
        </w:rPr>
        <w:t>年对市县政府实行了防震减灾工作考核，有力推动了海南省防震减灾工作。</w:t>
      </w:r>
    </w:p>
    <w:p>
      <w:pPr>
        <w:ind w:firstLine="640" w:firstLineChars="200"/>
        <w:rPr>
          <w:bCs/>
          <w:szCs w:val="32"/>
        </w:rPr>
      </w:pPr>
      <w:r>
        <w:rPr>
          <w:bCs/>
          <w:szCs w:val="32"/>
        </w:rPr>
        <w:t>2</w:t>
      </w:r>
      <w:r>
        <w:rPr>
          <w:rFonts w:hint="eastAsia"/>
          <w:bCs/>
          <w:szCs w:val="32"/>
        </w:rPr>
        <w:t>.坚持以习近平总书记在唐山大地震</w:t>
      </w:r>
      <w:r>
        <w:rPr>
          <w:bCs/>
          <w:szCs w:val="32"/>
        </w:rPr>
        <w:t>40周年纪念讲话和中共中央、国务院《关于推进防灾减灾救灾体制机制改革的意见</w:t>
      </w:r>
      <w:r>
        <w:rPr>
          <w:rFonts w:hint="eastAsia"/>
          <w:bCs/>
          <w:szCs w:val="32"/>
          <w:lang w:eastAsia="zh-CN"/>
        </w:rPr>
        <w:t>》</w:t>
      </w:r>
      <w:r>
        <w:rPr>
          <w:bCs/>
          <w:szCs w:val="32"/>
        </w:rPr>
        <w:t>提出的防灾减灾救灾“两个坚持”和“三个转变”为指导，制定和落实责任追究制度，层层压实责任，基层防震减灾进一步夯实。</w:t>
      </w:r>
    </w:p>
    <w:p>
      <w:pPr>
        <w:ind w:firstLine="640" w:firstLineChars="200"/>
        <w:rPr>
          <w:bCs/>
          <w:szCs w:val="32"/>
        </w:rPr>
      </w:pPr>
      <w:r>
        <w:rPr>
          <w:bCs/>
          <w:szCs w:val="32"/>
        </w:rPr>
        <w:t>3</w:t>
      </w:r>
      <w:r>
        <w:rPr>
          <w:rFonts w:hint="eastAsia"/>
          <w:bCs/>
          <w:szCs w:val="32"/>
        </w:rPr>
        <w:t>.为了全面落实防震减灾工作目标管理责任制，根据各市县防震减灾具体情况，有针对性地编制、印发了</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20</w:t>
      </w:r>
      <w:r>
        <w:rPr>
          <w:rFonts w:hint="eastAsia"/>
          <w:bCs/>
          <w:color w:val="000000" w:themeColor="text1"/>
          <w:szCs w:val="32"/>
          <w14:textFill>
            <w14:solidFill>
              <w14:schemeClr w14:val="tx1"/>
            </w14:solidFill>
          </w14:textFill>
        </w:rPr>
        <w:t>21</w:t>
      </w:r>
      <w:r>
        <w:rPr>
          <w:bCs/>
          <w:color w:val="000000" w:themeColor="text1"/>
          <w:szCs w:val="32"/>
          <w14:textFill>
            <w14:solidFill>
              <w14:schemeClr w14:val="tx1"/>
            </w14:solidFill>
          </w14:textFill>
        </w:rPr>
        <w:t>年市县防震减灾</w:t>
      </w:r>
      <w:r>
        <w:rPr>
          <w:rFonts w:hint="eastAsia"/>
          <w:bCs/>
          <w:color w:val="000000" w:themeColor="text1"/>
          <w:szCs w:val="32"/>
          <w14:textFill>
            <w14:solidFill>
              <w14:schemeClr w14:val="tx1"/>
            </w14:solidFill>
          </w14:textFill>
        </w:rPr>
        <w:t>、抗震救灾</w:t>
      </w:r>
      <w:r>
        <w:rPr>
          <w:bCs/>
          <w:color w:val="000000" w:themeColor="text1"/>
          <w:szCs w:val="32"/>
          <w14:textFill>
            <w14:solidFill>
              <w14:schemeClr w14:val="tx1"/>
            </w14:solidFill>
          </w14:textFill>
        </w:rPr>
        <w:t>重点工作任务》</w:t>
      </w:r>
      <w:r>
        <w:rPr>
          <w:bCs/>
          <w:szCs w:val="32"/>
        </w:rPr>
        <w:t>，并指导市县制定重点工作任务分解表，明确和细化防震减灾工作目标，落实责任。</w:t>
      </w:r>
    </w:p>
    <w:p>
      <w:pPr>
        <w:spacing w:line="578" w:lineRule="exact"/>
        <w:ind w:firstLine="640" w:firstLineChars="200"/>
        <w:outlineLvl w:val="0"/>
        <w:rPr>
          <w:rFonts w:ascii="黑体" w:hAnsi="黑体" w:eastAsia="黑体" w:cs="黑体"/>
        </w:rPr>
      </w:pPr>
      <w:r>
        <w:rPr>
          <w:rFonts w:hint="eastAsia" w:ascii="黑体" w:hAnsi="黑体" w:eastAsia="黑体" w:cs="黑体"/>
        </w:rPr>
        <w:t>四、项目绩效情况</w:t>
      </w:r>
    </w:p>
    <w:p>
      <w:pPr>
        <w:spacing w:line="578" w:lineRule="exact"/>
        <w:ind w:firstLine="640" w:firstLineChars="200"/>
        <w:outlineLvl w:val="0"/>
        <w:rPr>
          <w:bCs/>
          <w:color w:val="000000"/>
        </w:rPr>
      </w:pPr>
      <w:r>
        <w:rPr>
          <w:rFonts w:hint="eastAsia"/>
          <w:bCs/>
          <w:color w:val="000000"/>
        </w:rPr>
        <w:t>（一）项目绩效目标完成情况分析</w:t>
      </w:r>
    </w:p>
    <w:p>
      <w:pPr>
        <w:spacing w:line="578" w:lineRule="exact"/>
        <w:ind w:firstLine="640" w:firstLineChars="200"/>
        <w:rPr>
          <w:bCs/>
          <w:color w:val="000000"/>
          <w:szCs w:val="32"/>
        </w:rPr>
      </w:pPr>
      <w:r>
        <w:rPr>
          <w:rFonts w:hint="eastAsia"/>
          <w:bCs/>
          <w:color w:val="000000"/>
          <w:szCs w:val="32"/>
        </w:rPr>
        <w:t>1.项目的经济性分析</w:t>
      </w:r>
    </w:p>
    <w:p>
      <w:pPr>
        <w:spacing w:line="578" w:lineRule="exact"/>
        <w:ind w:firstLine="640" w:firstLineChars="200"/>
        <w:outlineLvl w:val="0"/>
        <w:rPr>
          <w:bCs/>
          <w:color w:val="000000"/>
          <w:szCs w:val="32"/>
        </w:rPr>
      </w:pPr>
      <w:r>
        <w:rPr>
          <w:rFonts w:hint="eastAsia"/>
          <w:bCs/>
          <w:color w:val="000000"/>
          <w:szCs w:val="32"/>
        </w:rPr>
        <w:t>（1）项目</w:t>
      </w:r>
      <w:r>
        <w:rPr>
          <w:bCs/>
          <w:color w:val="000000"/>
          <w:szCs w:val="32"/>
        </w:rPr>
        <w:t>成本（</w:t>
      </w:r>
      <w:r>
        <w:rPr>
          <w:rFonts w:hint="eastAsia"/>
          <w:bCs/>
          <w:color w:val="000000"/>
          <w:szCs w:val="32"/>
        </w:rPr>
        <w:t>预算</w:t>
      </w:r>
      <w:r>
        <w:rPr>
          <w:bCs/>
          <w:color w:val="000000"/>
          <w:szCs w:val="32"/>
        </w:rPr>
        <w:t>）</w:t>
      </w:r>
      <w:r>
        <w:rPr>
          <w:rFonts w:hint="eastAsia"/>
          <w:bCs/>
          <w:color w:val="000000"/>
          <w:szCs w:val="32"/>
        </w:rPr>
        <w:t>控制</w:t>
      </w:r>
      <w:r>
        <w:rPr>
          <w:bCs/>
          <w:color w:val="000000"/>
          <w:szCs w:val="32"/>
        </w:rPr>
        <w:t>情况</w:t>
      </w:r>
    </w:p>
    <w:p>
      <w:pPr>
        <w:ind w:firstLine="640" w:firstLineChars="200"/>
        <w:rPr>
          <w:bCs/>
          <w:color w:val="000000"/>
          <w:szCs w:val="32"/>
        </w:rPr>
      </w:pPr>
      <w:r>
        <w:rPr>
          <w:szCs w:val="32"/>
        </w:rPr>
        <w:t>20</w:t>
      </w:r>
      <w:r>
        <w:rPr>
          <w:rFonts w:hint="eastAsia"/>
          <w:szCs w:val="32"/>
        </w:rPr>
        <w:t>21</w:t>
      </w:r>
      <w:r>
        <w:rPr>
          <w:szCs w:val="32"/>
        </w:rPr>
        <w:t>年</w:t>
      </w:r>
      <w:r>
        <w:rPr>
          <w:rFonts w:hint="eastAsia"/>
          <w:szCs w:val="32"/>
        </w:rPr>
        <w:t>地震事务运行及管理</w:t>
      </w:r>
      <w:r>
        <w:rPr>
          <w:szCs w:val="32"/>
        </w:rPr>
        <w:t>项目总投资额</w:t>
      </w:r>
      <w:r>
        <w:rPr>
          <w:rFonts w:hint="eastAsia"/>
          <w:szCs w:val="32"/>
        </w:rPr>
        <w:t>96</w:t>
      </w:r>
      <w:r>
        <w:rPr>
          <w:rFonts w:hint="eastAsia"/>
          <w:szCs w:val="32"/>
          <w:lang w:val="en-US" w:eastAsia="zh-CN"/>
        </w:rPr>
        <w:t>.</w:t>
      </w:r>
      <w:r>
        <w:rPr>
          <w:rFonts w:hint="eastAsia"/>
          <w:szCs w:val="32"/>
        </w:rPr>
        <w:t>93</w:t>
      </w:r>
      <w:r>
        <w:rPr>
          <w:rFonts w:hint="eastAsia"/>
          <w:szCs w:val="32"/>
          <w:lang w:eastAsia="zh-CN"/>
        </w:rPr>
        <w:t>万</w:t>
      </w:r>
      <w:r>
        <w:rPr>
          <w:szCs w:val="32"/>
        </w:rPr>
        <w:t>元，</w:t>
      </w:r>
      <w:r>
        <w:rPr>
          <w:rFonts w:hint="eastAsia"/>
          <w:szCs w:val="32"/>
          <w:lang w:eastAsia="zh-CN"/>
        </w:rPr>
        <w:t>截至2021年</w:t>
      </w:r>
      <w:r>
        <w:rPr>
          <w:szCs w:val="32"/>
        </w:rPr>
        <w:t>12月31日，完成投资共计</w:t>
      </w:r>
      <w:r>
        <w:rPr>
          <w:rFonts w:hint="eastAsia"/>
          <w:szCs w:val="32"/>
        </w:rPr>
        <w:t>96</w:t>
      </w:r>
      <w:r>
        <w:rPr>
          <w:rFonts w:hint="eastAsia"/>
          <w:szCs w:val="32"/>
          <w:lang w:val="en-US" w:eastAsia="zh-CN"/>
        </w:rPr>
        <w:t>.</w:t>
      </w:r>
      <w:r>
        <w:rPr>
          <w:rFonts w:hint="eastAsia"/>
          <w:szCs w:val="32"/>
        </w:rPr>
        <w:t>91</w:t>
      </w:r>
      <w:r>
        <w:rPr>
          <w:rFonts w:hint="eastAsia"/>
          <w:szCs w:val="32"/>
          <w:lang w:eastAsia="zh-CN"/>
        </w:rPr>
        <w:t>万</w:t>
      </w:r>
      <w:r>
        <w:rPr>
          <w:szCs w:val="32"/>
        </w:rPr>
        <w:t>元，占项目总投资额</w:t>
      </w:r>
      <w:r>
        <w:rPr>
          <w:rFonts w:hint="eastAsia"/>
          <w:szCs w:val="32"/>
        </w:rPr>
        <w:t>99.98</w:t>
      </w:r>
      <w:r>
        <w:rPr>
          <w:szCs w:val="32"/>
        </w:rPr>
        <w:t>%。</w:t>
      </w:r>
      <w:r>
        <w:rPr>
          <w:rFonts w:hint="eastAsia"/>
          <w:bCs/>
          <w:color w:val="000000"/>
          <w:szCs w:val="32"/>
        </w:rPr>
        <w:t>项目成本（预算）严格</w:t>
      </w:r>
      <w:r>
        <w:rPr>
          <w:rFonts w:hint="eastAsia"/>
          <w:bCs/>
          <w:color w:val="000000"/>
          <w:szCs w:val="32"/>
          <w:lang w:eastAsia="zh-CN"/>
        </w:rPr>
        <w:t>按照</w:t>
      </w:r>
      <w:r>
        <w:rPr>
          <w:rFonts w:hint="eastAsia"/>
          <w:bCs/>
          <w:color w:val="000000"/>
          <w:szCs w:val="32"/>
        </w:rPr>
        <w:t>年初的项目预算执行，项目成本控制在预算内，无超预算情况。</w:t>
      </w:r>
    </w:p>
    <w:p>
      <w:pPr>
        <w:spacing w:line="578" w:lineRule="exact"/>
        <w:ind w:firstLine="640" w:firstLineChars="200"/>
        <w:outlineLvl w:val="0"/>
        <w:rPr>
          <w:szCs w:val="32"/>
        </w:rPr>
      </w:pPr>
      <w:r>
        <w:rPr>
          <w:rFonts w:hint="eastAsia"/>
          <w:szCs w:val="32"/>
        </w:rPr>
        <w:t>（2）项目</w:t>
      </w:r>
      <w:r>
        <w:rPr>
          <w:szCs w:val="32"/>
        </w:rPr>
        <w:t>成本（</w:t>
      </w:r>
      <w:r>
        <w:rPr>
          <w:rFonts w:hint="eastAsia"/>
          <w:szCs w:val="32"/>
        </w:rPr>
        <w:t>预算</w:t>
      </w:r>
      <w:r>
        <w:rPr>
          <w:szCs w:val="32"/>
        </w:rPr>
        <w:t>）</w:t>
      </w:r>
      <w:r>
        <w:rPr>
          <w:rFonts w:hint="eastAsia"/>
          <w:szCs w:val="32"/>
        </w:rPr>
        <w:t>节约</w:t>
      </w:r>
      <w:r>
        <w:rPr>
          <w:szCs w:val="32"/>
        </w:rPr>
        <w:t>情况</w:t>
      </w:r>
    </w:p>
    <w:p>
      <w:pPr>
        <w:spacing w:line="578" w:lineRule="exact"/>
        <w:ind w:firstLine="640" w:firstLineChars="200"/>
        <w:outlineLvl w:val="0"/>
        <w:rPr>
          <w:bCs/>
          <w:szCs w:val="32"/>
        </w:rPr>
      </w:pPr>
      <w:r>
        <w:rPr>
          <w:rFonts w:hint="eastAsia"/>
          <w:szCs w:val="32"/>
        </w:rPr>
        <w:t>2021年地震事务运行及管理</w:t>
      </w:r>
      <w:r>
        <w:rPr>
          <w:szCs w:val="32"/>
        </w:rPr>
        <w:t>项目严格控制成本，</w:t>
      </w:r>
      <w:r>
        <w:rPr>
          <w:rFonts w:hint="eastAsia"/>
          <w:szCs w:val="32"/>
        </w:rPr>
        <w:t>在印制</w:t>
      </w:r>
      <w:r>
        <w:rPr>
          <w:szCs w:val="32"/>
        </w:rPr>
        <w:t>科普宣传手册时</w:t>
      </w:r>
      <w:r>
        <w:rPr>
          <w:rFonts w:hint="eastAsia"/>
          <w:szCs w:val="32"/>
        </w:rPr>
        <w:t>采用</w:t>
      </w:r>
      <w:r>
        <w:rPr>
          <w:szCs w:val="32"/>
        </w:rPr>
        <w:t>双面印制，减少纸张使用，节约成本；在</w:t>
      </w:r>
      <w:r>
        <w:rPr>
          <w:rFonts w:hint="eastAsia"/>
          <w:szCs w:val="32"/>
        </w:rPr>
        <w:t>调研</w:t>
      </w:r>
      <w:r>
        <w:rPr>
          <w:szCs w:val="32"/>
        </w:rPr>
        <w:t>出差时，</w:t>
      </w:r>
      <w:r>
        <w:rPr>
          <w:rFonts w:hint="eastAsia"/>
          <w:szCs w:val="32"/>
        </w:rPr>
        <w:t>尽量</w:t>
      </w:r>
      <w:r>
        <w:rPr>
          <w:szCs w:val="32"/>
        </w:rPr>
        <w:t>挑选</w:t>
      </w:r>
      <w:r>
        <w:rPr>
          <w:rFonts w:hint="eastAsia"/>
          <w:szCs w:val="32"/>
        </w:rPr>
        <w:t>性价比高</w:t>
      </w:r>
      <w:r>
        <w:rPr>
          <w:szCs w:val="32"/>
        </w:rPr>
        <w:t>的酒店进行住宿，节省开支</w:t>
      </w:r>
      <w:r>
        <w:rPr>
          <w:rFonts w:hint="eastAsia"/>
          <w:szCs w:val="32"/>
        </w:rPr>
        <w:t>；全年</w:t>
      </w:r>
      <w:r>
        <w:rPr>
          <w:szCs w:val="32"/>
        </w:rPr>
        <w:t>防震减灾项目在节约开支的情况下，完成了支出计划。</w:t>
      </w:r>
    </w:p>
    <w:p>
      <w:pPr>
        <w:tabs>
          <w:tab w:val="left" w:pos="640"/>
        </w:tabs>
        <w:spacing w:line="578" w:lineRule="exact"/>
        <w:ind w:firstLine="640" w:firstLineChars="200"/>
        <w:outlineLvl w:val="0"/>
        <w:rPr>
          <w:bCs/>
          <w:szCs w:val="32"/>
        </w:rPr>
      </w:pPr>
      <w:r>
        <w:rPr>
          <w:rFonts w:hint="eastAsia"/>
          <w:bCs/>
          <w:szCs w:val="32"/>
        </w:rPr>
        <w:t>2.项目的效率性分析</w:t>
      </w:r>
    </w:p>
    <w:p>
      <w:pPr>
        <w:spacing w:line="578" w:lineRule="exact"/>
        <w:ind w:firstLine="640" w:firstLineChars="200"/>
        <w:rPr>
          <w:szCs w:val="32"/>
        </w:rPr>
      </w:pPr>
      <w:r>
        <w:rPr>
          <w:rFonts w:hint="eastAsia"/>
          <w:szCs w:val="32"/>
        </w:rPr>
        <w:t>（1）项目的实施进度</w:t>
      </w:r>
    </w:p>
    <w:p>
      <w:pPr>
        <w:spacing w:line="578" w:lineRule="exact"/>
        <w:ind w:firstLine="640" w:firstLineChars="200"/>
        <w:rPr>
          <w:rFonts w:hint="eastAsia" w:eastAsia="仿宋_GB2312"/>
          <w:color w:val="7030A0"/>
          <w:szCs w:val="32"/>
          <w:lang w:eastAsia="zh-CN"/>
        </w:rPr>
      </w:pPr>
      <w:r>
        <w:rPr>
          <w:rFonts w:hint="eastAsia"/>
          <w:szCs w:val="32"/>
        </w:rPr>
        <w:t>地震事务运行及管理</w:t>
      </w:r>
      <w:r>
        <w:rPr>
          <w:szCs w:val="32"/>
        </w:rPr>
        <w:t>项目</w:t>
      </w:r>
      <w:r>
        <w:rPr>
          <w:rFonts w:hint="eastAsia"/>
          <w:szCs w:val="32"/>
          <w:lang w:eastAsia="zh-CN"/>
        </w:rPr>
        <w:t>已按时完成所有项目计划，较好地实现当年绩效目标。</w:t>
      </w:r>
    </w:p>
    <w:p>
      <w:pPr>
        <w:spacing w:line="578" w:lineRule="exact"/>
        <w:ind w:firstLine="640" w:firstLineChars="200"/>
        <w:rPr>
          <w:szCs w:val="32"/>
          <w:highlight w:val="magenta"/>
        </w:rPr>
      </w:pPr>
      <w:r>
        <w:rPr>
          <w:rFonts w:hint="eastAsia"/>
          <w:szCs w:val="32"/>
        </w:rPr>
        <w:t>（2）项目完成质量</w:t>
      </w:r>
    </w:p>
    <w:p>
      <w:pPr>
        <w:spacing w:line="578" w:lineRule="exact"/>
        <w:ind w:firstLine="640" w:firstLineChars="200"/>
        <w:outlineLvl w:val="0"/>
        <w:rPr>
          <w:rFonts w:hint="eastAsia"/>
          <w:szCs w:val="32"/>
        </w:rPr>
      </w:pPr>
      <w:r>
        <w:rPr>
          <w:rFonts w:hint="eastAsia"/>
          <w:szCs w:val="32"/>
        </w:rPr>
        <w:t>我局2021</w:t>
      </w:r>
      <w:r>
        <w:rPr>
          <w:szCs w:val="32"/>
        </w:rPr>
        <w:t>年</w:t>
      </w:r>
      <w:r>
        <w:rPr>
          <w:rFonts w:hint="eastAsia"/>
          <w:szCs w:val="32"/>
        </w:rPr>
        <w:t>地震事务运行及管理项目完成质量较高。通过委派专家、业务交流学者前往指导、培训相关人员，进一步增强全省乡镇防震减灾助理员、农村民居建设工匠、群测群防联络员、学校和社区防震减灾宣传管理人员的防震减灾专业技能，开展防震减灾科普教育基地、科普示范学校创建工作。2021年，全省共创建3所国家级防震减灾科普示范学校，14所省级防震减灾科普示范学校。会同省应急管理厅、省气象局等开展综合减灾示范社区创建工作检查指导工作，推荐海口市琼山区滨江街道东门社区等8个较优秀社区为全国综合减灾示范社区，推动防灾减灾示范县和安全发展城市建设工作。</w:t>
      </w:r>
    </w:p>
    <w:p>
      <w:pPr>
        <w:spacing w:line="578" w:lineRule="exact"/>
        <w:ind w:firstLine="640" w:firstLineChars="200"/>
        <w:outlineLvl w:val="0"/>
        <w:rPr>
          <w:rFonts w:hint="eastAsia"/>
          <w:szCs w:val="32"/>
        </w:rPr>
      </w:pPr>
      <w:r>
        <w:rPr>
          <w:rFonts w:hint="eastAsia"/>
          <w:szCs w:val="32"/>
        </w:rPr>
        <w:t>海南省地震局联合省教育厅、省应急厅、省科协等单位在全国中小学生安全教育日、全国防灾减灾日、科技活动周、唐山大地震纪念日、国际减灾日、地震应急响应等重点时段科普宣传。据不完全统计，2021年我省共开展各类防震减灾宣传活动60余场，悬挂横幅530余幅，展出宣传展板220</w:t>
      </w:r>
      <w:r>
        <w:rPr>
          <w:rFonts w:hint="eastAsia"/>
          <w:szCs w:val="32"/>
          <w:lang w:eastAsia="zh-CN"/>
        </w:rPr>
        <w:t>余幅</w:t>
      </w:r>
      <w:r>
        <w:rPr>
          <w:rFonts w:hint="eastAsia"/>
          <w:szCs w:val="32"/>
        </w:rPr>
        <w:t>，张贴海报700余张，发放宣传手册（单）11万余份，发放宣传品5.3万余份，约62万人参加活动，进一步普及群众防震减灾知识，增强公众灾害风险防范意识。</w:t>
      </w:r>
    </w:p>
    <w:p>
      <w:pPr>
        <w:spacing w:line="578" w:lineRule="exact"/>
        <w:ind w:firstLine="640" w:firstLineChars="200"/>
        <w:outlineLvl w:val="0"/>
        <w:rPr>
          <w:rFonts w:hint="eastAsia"/>
          <w:szCs w:val="32"/>
        </w:rPr>
      </w:pPr>
      <w:r>
        <w:rPr>
          <w:rFonts w:hint="eastAsia"/>
          <w:szCs w:val="32"/>
        </w:rPr>
        <w:t>积极发动社会组织、民间机构参与防震减灾科普宣传。与海南省绿舟应急救援服务中心续签合作协议。广泛发动海南师范大学、三亚热带海洋学院、海口市城西中学、</w:t>
      </w:r>
      <w:r>
        <w:rPr>
          <w:rFonts w:hint="eastAsia"/>
          <w:szCs w:val="32"/>
          <w:lang w:val="en-US" w:eastAsia="zh-CN"/>
        </w:rPr>
        <w:t>绿舟</w:t>
      </w:r>
      <w:r>
        <w:rPr>
          <w:rFonts w:hint="eastAsia"/>
          <w:szCs w:val="32"/>
        </w:rPr>
        <w:t>应急救援队等单位及社会团体有关人员参与防震减灾科普讲解活动,有效提升了全省社会民众防灾减灾意识和自救互救能力。</w:t>
      </w:r>
    </w:p>
    <w:p>
      <w:pPr>
        <w:spacing w:line="578" w:lineRule="exact"/>
        <w:ind w:firstLine="640" w:firstLineChars="200"/>
        <w:outlineLvl w:val="0"/>
        <w:rPr>
          <w:rFonts w:hint="eastAsia"/>
          <w:szCs w:val="32"/>
        </w:rPr>
      </w:pPr>
      <w:r>
        <w:rPr>
          <w:rFonts w:hint="eastAsia"/>
          <w:szCs w:val="32"/>
        </w:rPr>
        <w:t>市县是防震减灾工作的重要基础，是发挥政府职能、强化防震减灾社会管理和公共服务的重要方面。加强市县防震减灾指导培训，提升基层防震减灾队伍素质和水平。组织举办海南省2021年市县防震减灾工作培训班，各市县防震减灾工作部门的主要负责人及业务骨干，省地震局机关、震灾风险防治中心及海口、琼中、三亚地震监测中心站有关人员等约80人参加培训。组织举办2021年防震减灾科普示范学校创建培训班，各市县应急、地震、教育工作部门，中小学校等相关单位和部门的近130余人参加培训。加强农居地震安全工程技术服务，组织专家指导协助市县开展农村民居地震安全、地震群测群防工作、防震减灾知识科普等培训班73场，培训人员约9755人。</w:t>
      </w:r>
    </w:p>
    <w:p>
      <w:pPr>
        <w:spacing w:line="578" w:lineRule="exact"/>
        <w:ind w:firstLine="640" w:firstLineChars="200"/>
        <w:outlineLvl w:val="0"/>
        <w:rPr>
          <w:rFonts w:hint="eastAsia"/>
          <w:szCs w:val="32"/>
        </w:rPr>
      </w:pPr>
      <w:r>
        <w:rPr>
          <w:rFonts w:hint="eastAsia"/>
          <w:szCs w:val="32"/>
        </w:rPr>
        <w:t>落实市县防震减灾工作责任。结合新时代防震减灾事业发展，根据各市县实际，组织编制《2021年度市县政府防震减灾重点工作任务》，明确和细化防震减灾工作任务，由省抗震救灾指挥部办公室、省防震减灾联席会议办公室联合印发，部署全省市县政府和洋浦经济开发区管委会年度工作任务。举办海南省2021年市县防震减灾工作培训班，指导全省市县政府和洋浦经济开发区管委会开展防震减灾工作。建立市县防震减灾工作监督机制，组织修订完善年度市县政府防震减灾工作考核指标，联合省应急管理厅开展2020年度市县政府防震减灾目标工作任务考核工作，有力地推进市县防震减灾目标责任制的落实。</w:t>
      </w:r>
    </w:p>
    <w:p>
      <w:pPr>
        <w:spacing w:line="578" w:lineRule="exact"/>
        <w:ind w:firstLine="640" w:firstLineChars="200"/>
        <w:outlineLvl w:val="0"/>
        <w:rPr>
          <w:b/>
          <w:color w:val="000000"/>
          <w:szCs w:val="32"/>
        </w:rPr>
      </w:pPr>
      <w:r>
        <w:rPr>
          <w:rFonts w:hint="eastAsia"/>
          <w:b/>
          <w:color w:val="000000"/>
          <w:szCs w:val="32"/>
        </w:rPr>
        <w:t>3. 项目的</w:t>
      </w:r>
      <w:r>
        <w:rPr>
          <w:rFonts w:hint="eastAsia"/>
          <w:b/>
          <w:szCs w:val="32"/>
        </w:rPr>
        <w:t>效益性分析</w:t>
      </w:r>
    </w:p>
    <w:p>
      <w:pPr>
        <w:spacing w:line="578"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（1）项目预期目标完成程度</w:t>
      </w:r>
    </w:p>
    <w:tbl>
      <w:tblPr>
        <w:tblStyle w:val="9"/>
        <w:tblW w:w="9713" w:type="dxa"/>
        <w:jc w:val="center"/>
        <w:tblLayout w:type="fixed"/>
        <w:tblCellMar>
          <w:top w:w="0" w:type="dxa"/>
          <w:left w:w="0" w:type="dxa"/>
          <w:bottom w:w="0" w:type="dxa"/>
          <w:right w:w="0" w:type="dxa"/>
        </w:tblCellMar>
      </w:tblPr>
      <w:tblGrid>
        <w:gridCol w:w="635"/>
        <w:gridCol w:w="635"/>
        <w:gridCol w:w="1254"/>
        <w:gridCol w:w="777"/>
        <w:gridCol w:w="900"/>
        <w:gridCol w:w="668"/>
        <w:gridCol w:w="1010"/>
        <w:gridCol w:w="1050"/>
        <w:gridCol w:w="995"/>
        <w:gridCol w:w="655"/>
        <w:gridCol w:w="1134"/>
      </w:tblGrid>
      <w:tr>
        <w:tblPrEx>
          <w:tblCellMar>
            <w:top w:w="0" w:type="dxa"/>
            <w:left w:w="0" w:type="dxa"/>
            <w:bottom w:w="0" w:type="dxa"/>
            <w:right w:w="0" w:type="dxa"/>
          </w:tblCellMar>
        </w:tblPrEx>
        <w:trPr>
          <w:trHeight w:val="2395" w:hRule="atLeast"/>
          <w:jc w:val="center"/>
        </w:trPr>
        <w:tc>
          <w:tcPr>
            <w:tcW w:w="6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b/>
                <w:color w:val="000000"/>
                <w:sz w:val="24"/>
              </w:rPr>
            </w:pPr>
            <w:r>
              <w:rPr>
                <w:rFonts w:hint="eastAsia" w:hAnsi="仿宋_GB2312" w:cs="仿宋_GB2312"/>
                <w:b/>
                <w:color w:val="000000"/>
                <w:kern w:val="0"/>
                <w:sz w:val="24"/>
              </w:rPr>
              <w:t>一级指标</w:t>
            </w:r>
          </w:p>
        </w:tc>
        <w:tc>
          <w:tcPr>
            <w:tcW w:w="63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b/>
                <w:color w:val="000000"/>
                <w:sz w:val="24"/>
              </w:rPr>
            </w:pPr>
            <w:r>
              <w:rPr>
                <w:rFonts w:hint="eastAsia" w:hAnsi="仿宋_GB2312" w:cs="仿宋_GB2312"/>
                <w:b/>
                <w:color w:val="000000"/>
                <w:kern w:val="0"/>
                <w:sz w:val="24"/>
              </w:rPr>
              <w:t>二级指标</w:t>
            </w:r>
          </w:p>
        </w:tc>
        <w:tc>
          <w:tcPr>
            <w:tcW w:w="125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Ansi="仿宋_GB2312" w:cs="仿宋_GB2312"/>
                <w:b/>
                <w:color w:val="000000"/>
                <w:sz w:val="24"/>
              </w:rPr>
            </w:pPr>
            <w:r>
              <w:rPr>
                <w:rFonts w:hint="eastAsia" w:hAnsi="仿宋_GB2312" w:cs="仿宋_GB2312"/>
                <w:b/>
                <w:color w:val="000000"/>
                <w:kern w:val="0"/>
                <w:sz w:val="24"/>
              </w:rPr>
              <w:t>三级指标</w:t>
            </w:r>
          </w:p>
        </w:tc>
        <w:tc>
          <w:tcPr>
            <w:tcW w:w="77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b/>
                <w:color w:val="000000"/>
                <w:sz w:val="24"/>
              </w:rPr>
            </w:pPr>
            <w:r>
              <w:rPr>
                <w:rFonts w:hint="eastAsia" w:hAnsi="仿宋_GB2312" w:cs="仿宋_GB2312"/>
                <w:b/>
                <w:color w:val="000000"/>
                <w:kern w:val="0"/>
                <w:sz w:val="24"/>
              </w:rPr>
              <w:t>指标性质</w:t>
            </w:r>
          </w:p>
        </w:tc>
        <w:tc>
          <w:tcPr>
            <w:tcW w:w="9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b/>
                <w:color w:val="000000"/>
                <w:sz w:val="24"/>
              </w:rPr>
            </w:pPr>
            <w:r>
              <w:rPr>
                <w:rFonts w:hint="eastAsia" w:hAnsi="仿宋_GB2312" w:cs="仿宋_GB2312"/>
                <w:b/>
                <w:color w:val="000000"/>
                <w:kern w:val="0"/>
                <w:sz w:val="24"/>
              </w:rPr>
              <w:t>年度指标值</w:t>
            </w:r>
          </w:p>
        </w:tc>
        <w:tc>
          <w:tcPr>
            <w:tcW w:w="66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b/>
                <w:color w:val="000000"/>
                <w:sz w:val="24"/>
              </w:rPr>
            </w:pPr>
            <w:r>
              <w:rPr>
                <w:rFonts w:hint="eastAsia" w:hAnsi="仿宋_GB2312" w:cs="仿宋_GB2312"/>
                <w:b/>
                <w:color w:val="000000"/>
                <w:kern w:val="0"/>
                <w:sz w:val="24"/>
              </w:rPr>
              <w:t>度量单位</w:t>
            </w:r>
          </w:p>
        </w:tc>
        <w:tc>
          <w:tcPr>
            <w:tcW w:w="101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b/>
                <w:color w:val="000000"/>
                <w:kern w:val="0"/>
                <w:sz w:val="24"/>
              </w:rPr>
            </w:pPr>
            <w:r>
              <w:rPr>
                <w:rFonts w:hint="eastAsia" w:hAnsi="仿宋_GB2312" w:cs="仿宋_GB2312"/>
                <w:b/>
                <w:color w:val="000000"/>
                <w:kern w:val="0"/>
                <w:sz w:val="24"/>
              </w:rPr>
              <w:t>实际</w:t>
            </w:r>
          </w:p>
          <w:p>
            <w:pPr>
              <w:widowControl/>
              <w:jc w:val="center"/>
              <w:textAlignment w:val="center"/>
              <w:rPr>
                <w:rFonts w:hAnsi="仿宋_GB2312" w:cs="仿宋_GB2312"/>
                <w:b/>
                <w:color w:val="000000"/>
                <w:sz w:val="24"/>
              </w:rPr>
            </w:pPr>
            <w:r>
              <w:rPr>
                <w:rFonts w:hint="eastAsia" w:hAnsi="仿宋_GB2312" w:cs="仿宋_GB2312"/>
                <w:b/>
                <w:color w:val="000000"/>
                <w:kern w:val="0"/>
                <w:sz w:val="24"/>
              </w:rPr>
              <w:t>完成值</w:t>
            </w:r>
          </w:p>
        </w:tc>
        <w:tc>
          <w:tcPr>
            <w:tcW w:w="105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b/>
                <w:color w:val="000000"/>
                <w:sz w:val="24"/>
              </w:rPr>
            </w:pPr>
            <w:r>
              <w:rPr>
                <w:rFonts w:hint="eastAsia" w:hAnsi="仿宋_GB2312" w:cs="仿宋_GB2312"/>
                <w:b/>
                <w:color w:val="000000"/>
                <w:kern w:val="0"/>
                <w:sz w:val="24"/>
              </w:rPr>
              <w:t>完成率</w:t>
            </w:r>
          </w:p>
        </w:tc>
        <w:tc>
          <w:tcPr>
            <w:tcW w:w="99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b/>
                <w:color w:val="000000"/>
                <w:sz w:val="24"/>
              </w:rPr>
            </w:pPr>
            <w:r>
              <w:rPr>
                <w:rFonts w:hint="eastAsia" w:hAnsi="仿宋_GB2312" w:cs="仿宋_GB2312"/>
                <w:b/>
                <w:color w:val="000000"/>
                <w:kern w:val="0"/>
                <w:sz w:val="24"/>
              </w:rPr>
              <w:t>分值</w:t>
            </w:r>
          </w:p>
        </w:tc>
        <w:tc>
          <w:tcPr>
            <w:tcW w:w="65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b/>
                <w:color w:val="000000"/>
                <w:sz w:val="24"/>
              </w:rPr>
            </w:pPr>
            <w:r>
              <w:rPr>
                <w:rFonts w:hint="eastAsia" w:hAnsi="仿宋_GB2312" w:cs="仿宋_GB2312"/>
                <w:b/>
                <w:color w:val="000000"/>
                <w:kern w:val="0"/>
                <w:sz w:val="24"/>
              </w:rPr>
              <w:t>得分</w:t>
            </w:r>
          </w:p>
        </w:tc>
        <w:tc>
          <w:tcPr>
            <w:tcW w:w="113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Ansi="仿宋_GB2312" w:cs="仿宋_GB2312"/>
                <w:b/>
                <w:color w:val="000000"/>
                <w:kern w:val="0"/>
                <w:sz w:val="24"/>
              </w:rPr>
            </w:pPr>
            <w:r>
              <w:rPr>
                <w:rFonts w:hint="eastAsia" w:hAnsi="仿宋_GB2312" w:cs="仿宋_GB2312"/>
                <w:b/>
                <w:color w:val="000000"/>
                <w:kern w:val="0"/>
                <w:sz w:val="24"/>
              </w:rPr>
              <w:t>未完成</w:t>
            </w:r>
          </w:p>
          <w:p>
            <w:pPr>
              <w:widowControl/>
              <w:jc w:val="center"/>
              <w:textAlignment w:val="center"/>
              <w:rPr>
                <w:rFonts w:hAnsi="仿宋_GB2312" w:cs="仿宋_GB2312"/>
                <w:b/>
                <w:color w:val="000000"/>
                <w:sz w:val="24"/>
              </w:rPr>
            </w:pPr>
            <w:r>
              <w:rPr>
                <w:rFonts w:hint="eastAsia" w:hAnsi="仿宋_GB2312" w:cs="仿宋_GB2312"/>
                <w:b/>
                <w:color w:val="000000"/>
                <w:kern w:val="0"/>
                <w:sz w:val="24"/>
              </w:rPr>
              <w:t>原因分析</w:t>
            </w:r>
          </w:p>
        </w:tc>
      </w:tr>
      <w:tr>
        <w:tblPrEx>
          <w:tblCellMar>
            <w:top w:w="0" w:type="dxa"/>
            <w:left w:w="0" w:type="dxa"/>
            <w:bottom w:w="0" w:type="dxa"/>
            <w:right w:w="0" w:type="dxa"/>
          </w:tblCellMar>
        </w:tblPrEx>
        <w:trPr>
          <w:trHeight w:val="1232" w:hRule="atLeast"/>
          <w:jc w:val="center"/>
        </w:trPr>
        <w:tc>
          <w:tcPr>
            <w:tcW w:w="635"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产出指标</w:t>
            </w:r>
          </w:p>
        </w:tc>
        <w:tc>
          <w:tcPr>
            <w:tcW w:w="63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质量指标</w:t>
            </w:r>
          </w:p>
        </w:tc>
        <w:tc>
          <w:tcPr>
            <w:tcW w:w="125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kern w:val="0"/>
                <w:sz w:val="22"/>
                <w:szCs w:val="22"/>
              </w:rPr>
            </w:pPr>
            <w:r>
              <w:rPr>
                <w:rFonts w:hint="eastAsia" w:hAnsi="仿宋_GB2312" w:cs="仿宋_GB2312"/>
                <w:color w:val="000000"/>
                <w:kern w:val="0"/>
                <w:sz w:val="22"/>
                <w:szCs w:val="22"/>
              </w:rPr>
              <w:t>参训人员</w:t>
            </w:r>
          </w:p>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考核合格率</w:t>
            </w:r>
          </w:p>
        </w:tc>
        <w:tc>
          <w:tcPr>
            <w:tcW w:w="77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w:t>
            </w:r>
          </w:p>
        </w:tc>
        <w:tc>
          <w:tcPr>
            <w:tcW w:w="9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100</w:t>
            </w:r>
          </w:p>
        </w:tc>
        <w:tc>
          <w:tcPr>
            <w:tcW w:w="66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w:t>
            </w:r>
          </w:p>
        </w:tc>
        <w:tc>
          <w:tcPr>
            <w:tcW w:w="101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100</w:t>
            </w:r>
          </w:p>
        </w:tc>
        <w:tc>
          <w:tcPr>
            <w:tcW w:w="10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100.00%</w:t>
            </w:r>
          </w:p>
        </w:tc>
        <w:tc>
          <w:tcPr>
            <w:tcW w:w="99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20.00</w:t>
            </w:r>
          </w:p>
        </w:tc>
        <w:tc>
          <w:tcPr>
            <w:tcW w:w="65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20</w:t>
            </w:r>
          </w:p>
        </w:tc>
        <w:tc>
          <w:tcPr>
            <w:tcW w:w="1134"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default" w:hAnsi="仿宋_GB2312" w:eastAsia="仿宋_GB2312" w:cs="仿宋_GB2312"/>
                <w:color w:val="000000"/>
                <w:sz w:val="22"/>
                <w:szCs w:val="22"/>
                <w:lang w:val="en-US" w:eastAsia="zh-CN"/>
              </w:rPr>
            </w:pPr>
            <w:r>
              <w:rPr>
                <w:rFonts w:hint="eastAsia" w:hAnsi="仿宋_GB2312" w:cs="仿宋_GB2312"/>
                <w:color w:val="000000"/>
                <w:sz w:val="22"/>
                <w:szCs w:val="22"/>
                <w:lang w:val="en-US" w:eastAsia="zh-CN"/>
              </w:rPr>
              <w:t>无</w:t>
            </w:r>
          </w:p>
        </w:tc>
      </w:tr>
      <w:tr>
        <w:tblPrEx>
          <w:tblCellMar>
            <w:top w:w="0" w:type="dxa"/>
            <w:left w:w="0" w:type="dxa"/>
            <w:bottom w:w="0" w:type="dxa"/>
            <w:right w:w="0" w:type="dxa"/>
          </w:tblCellMar>
        </w:tblPrEx>
        <w:trPr>
          <w:trHeight w:val="1234" w:hRule="atLeast"/>
          <w:jc w:val="center"/>
        </w:trPr>
        <w:tc>
          <w:tcPr>
            <w:tcW w:w="635"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效益指标</w:t>
            </w:r>
          </w:p>
        </w:tc>
        <w:tc>
          <w:tcPr>
            <w:tcW w:w="63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社会效益指标</w:t>
            </w:r>
          </w:p>
        </w:tc>
        <w:tc>
          <w:tcPr>
            <w:tcW w:w="125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全民防震减灾意识提高</w:t>
            </w:r>
          </w:p>
        </w:tc>
        <w:tc>
          <w:tcPr>
            <w:tcW w:w="77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w:t>
            </w:r>
          </w:p>
        </w:tc>
        <w:tc>
          <w:tcPr>
            <w:tcW w:w="9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10</w:t>
            </w:r>
          </w:p>
        </w:tc>
        <w:tc>
          <w:tcPr>
            <w:tcW w:w="66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w:t>
            </w:r>
          </w:p>
        </w:tc>
        <w:tc>
          <w:tcPr>
            <w:tcW w:w="101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15</w:t>
            </w:r>
          </w:p>
        </w:tc>
        <w:tc>
          <w:tcPr>
            <w:tcW w:w="10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100.00%</w:t>
            </w:r>
          </w:p>
        </w:tc>
        <w:tc>
          <w:tcPr>
            <w:tcW w:w="99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20.00</w:t>
            </w:r>
          </w:p>
        </w:tc>
        <w:tc>
          <w:tcPr>
            <w:tcW w:w="65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20</w:t>
            </w:r>
          </w:p>
        </w:tc>
        <w:tc>
          <w:tcPr>
            <w:tcW w:w="1134"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hAnsi="仿宋_GB2312" w:eastAsia="仿宋_GB2312" w:cs="仿宋_GB2312"/>
                <w:color w:val="000000"/>
                <w:sz w:val="22"/>
                <w:szCs w:val="22"/>
                <w:lang w:val="en-US" w:eastAsia="zh-CN"/>
              </w:rPr>
            </w:pPr>
            <w:r>
              <w:rPr>
                <w:rFonts w:hint="eastAsia" w:hAnsi="仿宋_GB2312" w:cs="仿宋_GB2312"/>
                <w:color w:val="000000"/>
                <w:sz w:val="22"/>
                <w:szCs w:val="22"/>
                <w:lang w:val="en-US" w:eastAsia="zh-CN"/>
              </w:rPr>
              <w:t>无</w:t>
            </w:r>
          </w:p>
        </w:tc>
      </w:tr>
      <w:tr>
        <w:tblPrEx>
          <w:tblCellMar>
            <w:top w:w="0" w:type="dxa"/>
            <w:left w:w="0" w:type="dxa"/>
            <w:bottom w:w="0" w:type="dxa"/>
            <w:right w:w="0" w:type="dxa"/>
          </w:tblCellMar>
        </w:tblPrEx>
        <w:trPr>
          <w:trHeight w:val="1354" w:hRule="atLeast"/>
          <w:jc w:val="center"/>
        </w:trPr>
        <w:tc>
          <w:tcPr>
            <w:tcW w:w="635"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满意度指标</w:t>
            </w:r>
          </w:p>
        </w:tc>
        <w:tc>
          <w:tcPr>
            <w:tcW w:w="63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服务对象满意度</w:t>
            </w:r>
          </w:p>
        </w:tc>
        <w:tc>
          <w:tcPr>
            <w:tcW w:w="125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kern w:val="0"/>
                <w:sz w:val="22"/>
                <w:szCs w:val="22"/>
              </w:rPr>
            </w:pPr>
            <w:r>
              <w:rPr>
                <w:rFonts w:hint="eastAsia" w:hAnsi="仿宋_GB2312" w:cs="仿宋_GB2312"/>
                <w:color w:val="000000"/>
                <w:kern w:val="0"/>
                <w:sz w:val="22"/>
                <w:szCs w:val="22"/>
              </w:rPr>
              <w:t>受训学员</w:t>
            </w:r>
          </w:p>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满意度</w:t>
            </w:r>
          </w:p>
        </w:tc>
        <w:tc>
          <w:tcPr>
            <w:tcW w:w="77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w:t>
            </w:r>
          </w:p>
        </w:tc>
        <w:tc>
          <w:tcPr>
            <w:tcW w:w="9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90</w:t>
            </w:r>
          </w:p>
        </w:tc>
        <w:tc>
          <w:tcPr>
            <w:tcW w:w="66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w:t>
            </w:r>
          </w:p>
        </w:tc>
        <w:tc>
          <w:tcPr>
            <w:tcW w:w="101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98</w:t>
            </w:r>
          </w:p>
        </w:tc>
        <w:tc>
          <w:tcPr>
            <w:tcW w:w="105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100.00%</w:t>
            </w:r>
          </w:p>
        </w:tc>
        <w:tc>
          <w:tcPr>
            <w:tcW w:w="99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20.00</w:t>
            </w:r>
          </w:p>
        </w:tc>
        <w:tc>
          <w:tcPr>
            <w:tcW w:w="65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20</w:t>
            </w:r>
          </w:p>
        </w:tc>
        <w:tc>
          <w:tcPr>
            <w:tcW w:w="1134"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hAnsi="仿宋_GB2312" w:eastAsia="仿宋_GB2312" w:cs="仿宋_GB2312"/>
                <w:color w:val="000000"/>
                <w:sz w:val="22"/>
                <w:szCs w:val="22"/>
                <w:lang w:eastAsia="zh-CN"/>
              </w:rPr>
            </w:pPr>
            <w:r>
              <w:rPr>
                <w:rFonts w:hint="eastAsia" w:hAnsi="仿宋_GB2312" w:cs="仿宋_GB2312"/>
                <w:color w:val="000000"/>
                <w:sz w:val="22"/>
                <w:szCs w:val="22"/>
                <w:lang w:eastAsia="zh-CN"/>
              </w:rPr>
              <w:t>无</w:t>
            </w:r>
          </w:p>
        </w:tc>
      </w:tr>
      <w:tr>
        <w:tblPrEx>
          <w:tblCellMar>
            <w:top w:w="0" w:type="dxa"/>
            <w:left w:w="0" w:type="dxa"/>
            <w:bottom w:w="0" w:type="dxa"/>
            <w:right w:w="0" w:type="dxa"/>
          </w:tblCellMar>
        </w:tblPrEx>
        <w:trPr>
          <w:trHeight w:val="1261" w:hRule="atLeast"/>
          <w:jc w:val="center"/>
        </w:trPr>
        <w:tc>
          <w:tcPr>
            <w:tcW w:w="6929"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合计</w:t>
            </w:r>
          </w:p>
        </w:tc>
        <w:tc>
          <w:tcPr>
            <w:tcW w:w="99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100.00</w:t>
            </w:r>
          </w:p>
        </w:tc>
        <w:tc>
          <w:tcPr>
            <w:tcW w:w="65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Ansi="仿宋_GB2312" w:cs="仿宋_GB2312"/>
                <w:color w:val="000000"/>
                <w:sz w:val="22"/>
                <w:szCs w:val="22"/>
              </w:rPr>
            </w:pPr>
            <w:r>
              <w:rPr>
                <w:rFonts w:hint="eastAsia" w:hAnsi="仿宋_GB2312" w:cs="仿宋_GB2312"/>
                <w:color w:val="000000"/>
                <w:kern w:val="0"/>
                <w:sz w:val="22"/>
                <w:szCs w:val="22"/>
              </w:rPr>
              <w:t>99.99</w:t>
            </w:r>
          </w:p>
        </w:tc>
        <w:tc>
          <w:tcPr>
            <w:tcW w:w="1134"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Ansi="仿宋_GB2312" w:cs="仿宋_GB2312"/>
                <w:color w:val="000000"/>
                <w:sz w:val="22"/>
                <w:szCs w:val="22"/>
              </w:rPr>
            </w:pPr>
          </w:p>
        </w:tc>
      </w:tr>
    </w:tbl>
    <w:p>
      <w:pPr>
        <w:spacing w:line="240" w:lineRule="atLeast"/>
        <w:ind w:firstLine="640" w:firstLineChars="200"/>
        <w:rPr>
          <w:rFonts w:hAnsi="仿宋"/>
          <w:b/>
          <w:bCs/>
          <w:color w:val="FF0000"/>
          <w:szCs w:val="32"/>
        </w:rPr>
      </w:pPr>
    </w:p>
    <w:p>
      <w:pPr>
        <w:spacing w:line="240" w:lineRule="atLeast"/>
        <w:ind w:firstLine="640" w:firstLineChars="20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产出指标：我局联合教育厅组织举办海南省2021年防震减灾科普示范学校创建培训班，各市县应急、地震、教育工作部门，中小学校等相关单位和部门的近130余人参加培训，参训学员考核合格率为100%；我局组织举办海南省2021年市县防震减灾工作培训班，各市县防震减灾工作部门的主要负责人及业务骨干，省地震局机关、震灾风险防治中心及海口、琼中、三亚地震监测中心站有关人员等约80人参加培训，参训学员考核合格率为100%。</w:t>
      </w:r>
    </w:p>
    <w:p>
      <w:pPr>
        <w:spacing w:line="240" w:lineRule="atLeast"/>
        <w:ind w:firstLine="640" w:firstLineChars="20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效益指标：效益指标目标完成值为10%，实际完成值为15%。我局积极联合相关行业部门和组织社会力量参与防震减灾科普宣传，通过新媒体和广播电视开展线上宣传和依托重点时段现场宣传讲解等线上线下相结合的方式，推进地震科普宣传工作走深走实，切实提高人民群众防震减灾意识。</w:t>
      </w:r>
    </w:p>
    <w:p>
      <w:pPr>
        <w:pStyle w:val="2"/>
        <w:ind w:left="0" w:leftChars="0" w:firstLine="640" w:firstLineChars="200"/>
      </w:pPr>
      <w:r>
        <w:rPr>
          <w:rFonts w:hint="eastAsia" w:hAnsi="仿宋"/>
          <w:color w:val="000000" w:themeColor="text1"/>
          <w:szCs w:val="32"/>
          <w14:textFill>
            <w14:solidFill>
              <w14:schemeClr w14:val="tx1"/>
            </w14:solidFill>
          </w14:textFill>
        </w:rPr>
        <w:t>满意度指标：海南省2021年防震减灾科普示范学校创建培训班和海南省2021年市县防震减灾工作培训班参训学员满意度为98%，得到相关单位和参训学员的好评，达到培训的预期效果。</w:t>
      </w:r>
    </w:p>
    <w:p>
      <w:pPr>
        <w:numPr>
          <w:ilvl w:val="0"/>
          <w:numId w:val="1"/>
        </w:numPr>
        <w:spacing w:line="578" w:lineRule="exact"/>
        <w:ind w:firstLine="640" w:firstLineChars="200"/>
        <w:outlineLvl w:val="0"/>
        <w:rPr>
          <w:szCs w:val="32"/>
        </w:rPr>
      </w:pPr>
      <w:r>
        <w:rPr>
          <w:rFonts w:hint="eastAsia"/>
          <w:szCs w:val="32"/>
        </w:rPr>
        <w:t>项目实施对经济和社会的影响</w:t>
      </w:r>
    </w:p>
    <w:p>
      <w:pPr>
        <w:spacing w:line="560" w:lineRule="exact"/>
        <w:ind w:firstLine="640" w:firstLineChars="200"/>
        <w:rPr>
          <w:rFonts w:hAnsi="仿宋_GB2312" w:cs="仿宋_GB2312"/>
          <w:szCs w:val="32"/>
        </w:rPr>
      </w:pPr>
      <w:r>
        <w:rPr>
          <w:rFonts w:hint="eastAsia" w:hAnsi="仿宋_GB2312" w:cs="仿宋_GB2312"/>
          <w:szCs w:val="32"/>
        </w:rPr>
        <w:t>做好防震减灾工作，事关人民群众生命财产安全，事关社会的和谐与稳定，是一项长期而艰巨的任务。通过宣传教育和培训，较好地提高了社会民众的防震减灾意识和自救互救能力，为社会营造了依法开展防震减灾的氛围；不断加强市县防震减灾指导培训，提升基层防震减灾队伍素质和水平。地震队伍不断充实，经费保障有力，地震监测能力不断提升，震灾综合防御能力明显提高，地震应急救援能力得到加强，地震应急保障措施逐渐完善，基层防震减灾队伍素质和水平不断得到提升。</w:t>
      </w:r>
    </w:p>
    <w:p>
      <w:pPr>
        <w:spacing w:line="560" w:lineRule="exact"/>
        <w:ind w:firstLine="640" w:firstLineChars="200"/>
        <w:rPr>
          <w:rFonts w:hAnsi="仿宋_GB2312" w:cs="仿宋_GB2312"/>
          <w:szCs w:val="32"/>
        </w:rPr>
      </w:pPr>
      <w:r>
        <w:rPr>
          <w:rFonts w:hint="eastAsia" w:hAnsi="仿宋_GB2312" w:cs="仿宋_GB2312"/>
          <w:szCs w:val="32"/>
        </w:rPr>
        <w:t>2021年，海南省地震局通过加强农居地震安全工程技术服务，进行农村建筑工匠和助理员、联络员抗震农居建设技术培训，完善省农村民居地震安全技术服务网站，开展抗震农居宣传教育等措施继续开展农村民居地震安全推广工作，为地震安全农村民居建设提供技术支撑。</w:t>
      </w:r>
    </w:p>
    <w:p>
      <w:pPr>
        <w:spacing w:line="560" w:lineRule="exact"/>
        <w:ind w:firstLine="640" w:firstLineChars="200"/>
        <w:rPr>
          <w:rFonts w:hAnsi="仿宋_GB2312" w:cs="仿宋_GB2312"/>
          <w:szCs w:val="32"/>
        </w:rPr>
      </w:pPr>
      <w:r>
        <w:rPr>
          <w:rFonts w:hint="eastAsia"/>
          <w:szCs w:val="32"/>
        </w:rPr>
        <w:t>2021年，全省共创建3所国家级防震减灾科普示范学校，14所省级防震减灾科普示范学校。</w:t>
      </w:r>
      <w:r>
        <w:rPr>
          <w:rFonts w:hint="eastAsia" w:ascii="宋体" w:hAnsi="宋体"/>
          <w:szCs w:val="32"/>
        </w:rPr>
        <w:t>会同省应急管理厅、省气象局等开展综合减灾示范社区创建工作检查指导工作，</w:t>
      </w:r>
      <w:r>
        <w:rPr>
          <w:rFonts w:hint="eastAsia" w:hAnsi="仿宋_GB2312" w:cs="仿宋_GB2312"/>
          <w:szCs w:val="32"/>
        </w:rPr>
        <w:t>推荐海口市琼山区滨江街道东门社区等8个较优秀社区为全国综合减灾示范社区，</w:t>
      </w:r>
      <w:r>
        <w:rPr>
          <w:rFonts w:hint="eastAsia" w:ascii="宋体" w:hAnsi="宋体"/>
          <w:szCs w:val="32"/>
        </w:rPr>
        <w:t>推动防灾减灾示范县和安全发展城市建设工作。在</w:t>
      </w:r>
      <w:r>
        <w:rPr>
          <w:rFonts w:hint="eastAsia" w:hAnsi="仿宋_GB2312" w:cs="仿宋_GB2312"/>
          <w:szCs w:val="32"/>
        </w:rPr>
        <w:t>重点时段开展</w:t>
      </w:r>
      <w:r>
        <w:rPr>
          <w:rFonts w:hint="eastAsia"/>
          <w:szCs w:val="32"/>
        </w:rPr>
        <w:t>防震减灾科普知识宣传、组织防震减灾电影进乡村、进社区公益播放、在高铁站和码头播放防震减灾科普宣传片等手段，</w:t>
      </w:r>
      <w:r>
        <w:rPr>
          <w:rFonts w:hint="eastAsia" w:hAnsi="仿宋_GB2312" w:cs="仿宋_GB2312"/>
          <w:szCs w:val="32"/>
        </w:rPr>
        <w:t>不断增强了全民自然灾害防治意识、素质和能力。</w:t>
      </w:r>
    </w:p>
    <w:p>
      <w:pPr>
        <w:spacing w:line="578" w:lineRule="exact"/>
        <w:ind w:firstLine="640" w:firstLineChars="200"/>
        <w:outlineLvl w:val="0"/>
        <w:rPr>
          <w:bCs/>
          <w:szCs w:val="32"/>
        </w:rPr>
      </w:pPr>
      <w:r>
        <w:rPr>
          <w:rFonts w:hint="eastAsia"/>
          <w:bCs/>
          <w:szCs w:val="32"/>
        </w:rPr>
        <w:t>4. 项目的可持续性分析</w:t>
      </w:r>
    </w:p>
    <w:p>
      <w:pPr>
        <w:spacing w:line="540" w:lineRule="exact"/>
        <w:ind w:firstLine="640" w:firstLineChars="200"/>
        <w:rPr>
          <w:szCs w:val="32"/>
        </w:rPr>
      </w:pPr>
      <w:r>
        <w:rPr>
          <w:rFonts w:hint="eastAsia"/>
          <w:szCs w:val="32"/>
        </w:rPr>
        <w:t>结合中国地震局“弘扬防震减灾行业精神，履职尽责、干事创业”宣传教育年活动，大力弘扬“开拓创新、求真务实、攻坚克难、坚守奉献”的防震减灾行业精神。通过深入挖掘行业文化精神内涵、打造文化阵地，创建具有海南特色的防震减灾科普活动等方式，进一步加强精神文明工作，营造了和谐稳定、充满活力的工作局面。</w:t>
      </w:r>
    </w:p>
    <w:p>
      <w:pPr>
        <w:spacing w:line="540" w:lineRule="exact"/>
        <w:ind w:firstLine="640" w:firstLineChars="200"/>
        <w:rPr>
          <w:szCs w:val="32"/>
        </w:rPr>
      </w:pPr>
      <w:r>
        <w:rPr>
          <w:rFonts w:hint="eastAsia"/>
          <w:szCs w:val="32"/>
        </w:rPr>
        <w:t>进一步发挥地震科普馆、防震减灾示范社区、科普示范学校、电视科普栏目等防震减灾宣传教育长效机制作用，深入开展防震减灾宣传教育。继续开展地震科普“六进”活动，深入学校、医院、社区、企业等人员密集场所持续开展防震减灾宣传活动，利用《海南地震》、《防震减灾科普》、《解读防震减灾》等微信、微博、博客和《防震减灾数字科普馆》平台，向社会及时提供海南地震速报和防震减灾科普信息服务，进一步提高全社会抗御地震灾害和自救互救能力。推动防震减灾科普基地（场馆）建设。引导更多社会资源参与防震减灾宣传教育，提高社会宣教的覆盖面。</w:t>
      </w:r>
    </w:p>
    <w:p>
      <w:pPr>
        <w:numPr>
          <w:ilvl w:val="0"/>
          <w:numId w:val="2"/>
        </w:numPr>
        <w:tabs>
          <w:tab w:val="left" w:pos="878"/>
        </w:tabs>
        <w:spacing w:line="578" w:lineRule="exact"/>
        <w:ind w:firstLine="640" w:firstLineChars="200"/>
        <w:outlineLvl w:val="0"/>
        <w:rPr>
          <w:bCs/>
          <w:color w:val="000000"/>
          <w:szCs w:val="32"/>
        </w:rPr>
      </w:pPr>
      <w:r>
        <w:rPr>
          <w:rFonts w:hint="eastAsia"/>
          <w:bCs/>
          <w:color w:val="000000"/>
          <w:szCs w:val="32"/>
        </w:rPr>
        <w:t>项目绩效目标未完成原因分析</w:t>
      </w:r>
    </w:p>
    <w:p>
      <w:pPr>
        <w:tabs>
          <w:tab w:val="left" w:pos="878"/>
        </w:tabs>
        <w:spacing w:line="578" w:lineRule="exact"/>
        <w:ind w:firstLine="660"/>
        <w:outlineLvl w:val="0"/>
        <w:rPr>
          <w:szCs w:val="32"/>
        </w:rPr>
      </w:pPr>
      <w:r>
        <w:rPr>
          <w:rFonts w:hint="eastAsia"/>
          <w:color w:val="000000"/>
        </w:rPr>
        <w:t>本年绩效</w:t>
      </w:r>
      <w:r>
        <w:rPr>
          <w:color w:val="000000"/>
        </w:rPr>
        <w:t>目标均达标完成。</w:t>
      </w:r>
    </w:p>
    <w:p>
      <w:pPr>
        <w:spacing w:line="578" w:lineRule="exact"/>
        <w:ind w:firstLine="640" w:firstLineChars="200"/>
        <w:outlineLvl w:val="0"/>
        <w:rPr>
          <w:b/>
          <w:bCs/>
          <w:szCs w:val="32"/>
        </w:rPr>
      </w:pPr>
      <w:r>
        <w:rPr>
          <w:rFonts w:hint="eastAsia"/>
          <w:b/>
          <w:bCs/>
          <w:szCs w:val="32"/>
          <w:lang w:eastAsia="zh-CN"/>
        </w:rPr>
        <w:t>五</w:t>
      </w:r>
      <w:r>
        <w:rPr>
          <w:rFonts w:hint="eastAsia"/>
          <w:b/>
          <w:bCs/>
          <w:szCs w:val="32"/>
        </w:rPr>
        <w:t>、存在的问题和建议</w:t>
      </w:r>
    </w:p>
    <w:p>
      <w:pPr>
        <w:spacing w:line="540" w:lineRule="exact"/>
        <w:ind w:firstLine="640" w:firstLineChars="200"/>
        <w:rPr>
          <w:szCs w:val="32"/>
        </w:rPr>
      </w:pPr>
      <w:r>
        <w:rPr>
          <w:rFonts w:hint="eastAsia"/>
          <w:szCs w:val="32"/>
        </w:rPr>
        <w:t>（一）存在的问题</w:t>
      </w:r>
    </w:p>
    <w:p>
      <w:pPr>
        <w:spacing w:line="578" w:lineRule="exact"/>
        <w:ind w:firstLine="640" w:firstLineChars="200"/>
        <w:rPr>
          <w:szCs w:val="32"/>
        </w:rPr>
      </w:pPr>
      <w:r>
        <w:rPr>
          <w:rFonts w:hint="eastAsia"/>
          <w:szCs w:val="32"/>
        </w:rPr>
        <w:t>地震事务运行及管理项目目标之一就是提高全省社会公众防震减灾意识和自救互救能力，但项目实施需要建立长效机制，久久为功，科普宣传的效果和成绩在短时间内较难立即凸显。</w:t>
      </w:r>
    </w:p>
    <w:p>
      <w:pPr>
        <w:ind w:firstLine="640" w:firstLineChars="200"/>
        <w:rPr>
          <w:szCs w:val="32"/>
        </w:rPr>
      </w:pPr>
      <w:r>
        <w:rPr>
          <w:rFonts w:hint="eastAsia"/>
          <w:szCs w:val="32"/>
        </w:rPr>
        <w:t>（二）改进措施</w:t>
      </w:r>
    </w:p>
    <w:p>
      <w:pPr>
        <w:ind w:firstLine="640" w:firstLineChars="200"/>
        <w:rPr>
          <w:szCs w:val="32"/>
        </w:rPr>
      </w:pPr>
      <w:r>
        <w:rPr>
          <w:rFonts w:hint="eastAsia"/>
          <w:szCs w:val="32"/>
        </w:rPr>
        <w:t>今后，我局将一如既往重视防灾减灾科普宣传活动，大力挖掘社会资源，广泛发动相关单位、企业、社团组织参与其中，着力构建新时代防灾减灾科普宣传新格局，建立科普宣传长效机制，使科普宣传活动常态化、社会化。同时，丰富活动内容，创新活动形式，加大对市县的指导力度，进一步提高社会公众防灾救灾意识和应对突发事件的自救互救能力，保障广大人民群众的生命财产安全，助力海南自贸区港建设。</w:t>
      </w:r>
    </w:p>
    <w:p>
      <w:pPr>
        <w:spacing w:line="540" w:lineRule="exact"/>
        <w:ind w:firstLine="640" w:firstLineChars="200"/>
        <w:rPr>
          <w:szCs w:val="32"/>
        </w:rPr>
      </w:pPr>
    </w:p>
    <w:p>
      <w:pPr>
        <w:spacing w:line="20" w:lineRule="exact"/>
      </w:pPr>
    </w:p>
    <w:sectPr>
      <w:pgSz w:w="11906" w:h="16838"/>
      <w:pgMar w:top="2098" w:right="1474" w:bottom="1985" w:left="1588" w:header="851" w:footer="158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A06BCF"/>
    <w:multiLevelType w:val="singleLevel"/>
    <w:tmpl w:val="CFA06BCF"/>
    <w:lvl w:ilvl="0" w:tentative="0">
      <w:start w:val="2"/>
      <w:numFmt w:val="decimal"/>
      <w:suff w:val="nothing"/>
      <w:lvlText w:val="（%1）"/>
      <w:lvlJc w:val="left"/>
    </w:lvl>
  </w:abstractNum>
  <w:abstractNum w:abstractNumId="1">
    <w:nsid w:val="00000003"/>
    <w:multiLevelType w:val="singleLevel"/>
    <w:tmpl w:val="00000003"/>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MGM0NDMwNzhmOTg1YjdiNzI3ZjVlYjVmMzA4NmUifQ=="/>
  </w:docVars>
  <w:rsids>
    <w:rsidRoot w:val="00C22DA9"/>
    <w:rsid w:val="00015ACB"/>
    <w:rsid w:val="00021295"/>
    <w:rsid w:val="00032F8D"/>
    <w:rsid w:val="0005720B"/>
    <w:rsid w:val="00061CFF"/>
    <w:rsid w:val="00081DE1"/>
    <w:rsid w:val="00094B09"/>
    <w:rsid w:val="000A7D14"/>
    <w:rsid w:val="000D10D1"/>
    <w:rsid w:val="000E4FE5"/>
    <w:rsid w:val="000F09E6"/>
    <w:rsid w:val="00131525"/>
    <w:rsid w:val="00134BEB"/>
    <w:rsid w:val="00160DB0"/>
    <w:rsid w:val="001774C2"/>
    <w:rsid w:val="001A1A78"/>
    <w:rsid w:val="001B7413"/>
    <w:rsid w:val="001B7A78"/>
    <w:rsid w:val="001D4114"/>
    <w:rsid w:val="001F60B0"/>
    <w:rsid w:val="002015B4"/>
    <w:rsid w:val="00203565"/>
    <w:rsid w:val="00206685"/>
    <w:rsid w:val="0021696B"/>
    <w:rsid w:val="002409B3"/>
    <w:rsid w:val="00241DE7"/>
    <w:rsid w:val="00253B79"/>
    <w:rsid w:val="002631D5"/>
    <w:rsid w:val="00281B38"/>
    <w:rsid w:val="00295B6F"/>
    <w:rsid w:val="003071E0"/>
    <w:rsid w:val="00335B38"/>
    <w:rsid w:val="003465DA"/>
    <w:rsid w:val="003855D7"/>
    <w:rsid w:val="003B64FB"/>
    <w:rsid w:val="003C1B9B"/>
    <w:rsid w:val="003D3033"/>
    <w:rsid w:val="003D5FC6"/>
    <w:rsid w:val="00412602"/>
    <w:rsid w:val="00422AA4"/>
    <w:rsid w:val="00444DE9"/>
    <w:rsid w:val="00446A4A"/>
    <w:rsid w:val="00451EB7"/>
    <w:rsid w:val="00453067"/>
    <w:rsid w:val="00480C1C"/>
    <w:rsid w:val="004A235F"/>
    <w:rsid w:val="004A5DF7"/>
    <w:rsid w:val="004E154C"/>
    <w:rsid w:val="004F6102"/>
    <w:rsid w:val="00523713"/>
    <w:rsid w:val="00547DCF"/>
    <w:rsid w:val="0055345C"/>
    <w:rsid w:val="00565E59"/>
    <w:rsid w:val="00586824"/>
    <w:rsid w:val="005A2E41"/>
    <w:rsid w:val="00624A98"/>
    <w:rsid w:val="00632E3A"/>
    <w:rsid w:val="0063302F"/>
    <w:rsid w:val="00660E44"/>
    <w:rsid w:val="0068000C"/>
    <w:rsid w:val="00692E8D"/>
    <w:rsid w:val="006969F7"/>
    <w:rsid w:val="006F3C4D"/>
    <w:rsid w:val="0071425B"/>
    <w:rsid w:val="0074672F"/>
    <w:rsid w:val="00752EAF"/>
    <w:rsid w:val="00763C3A"/>
    <w:rsid w:val="0078016D"/>
    <w:rsid w:val="007B28A8"/>
    <w:rsid w:val="007B388E"/>
    <w:rsid w:val="007C7241"/>
    <w:rsid w:val="007E51FE"/>
    <w:rsid w:val="007F5084"/>
    <w:rsid w:val="007F76F7"/>
    <w:rsid w:val="00801DDF"/>
    <w:rsid w:val="00822B58"/>
    <w:rsid w:val="00830E61"/>
    <w:rsid w:val="0083401F"/>
    <w:rsid w:val="00854485"/>
    <w:rsid w:val="0086382F"/>
    <w:rsid w:val="0088073A"/>
    <w:rsid w:val="00897EB1"/>
    <w:rsid w:val="008C77B5"/>
    <w:rsid w:val="008E7B80"/>
    <w:rsid w:val="00954004"/>
    <w:rsid w:val="00955E4E"/>
    <w:rsid w:val="009616F0"/>
    <w:rsid w:val="00962185"/>
    <w:rsid w:val="0097111F"/>
    <w:rsid w:val="00997BF3"/>
    <w:rsid w:val="009B1B5A"/>
    <w:rsid w:val="009C0719"/>
    <w:rsid w:val="009C1598"/>
    <w:rsid w:val="009C3BC7"/>
    <w:rsid w:val="009D05E2"/>
    <w:rsid w:val="00A1408B"/>
    <w:rsid w:val="00A370DC"/>
    <w:rsid w:val="00AA31AE"/>
    <w:rsid w:val="00AB37D4"/>
    <w:rsid w:val="00AB7F5F"/>
    <w:rsid w:val="00AD7F83"/>
    <w:rsid w:val="00B02797"/>
    <w:rsid w:val="00B048FB"/>
    <w:rsid w:val="00B47023"/>
    <w:rsid w:val="00B519A0"/>
    <w:rsid w:val="00B57485"/>
    <w:rsid w:val="00B700E8"/>
    <w:rsid w:val="00B8732C"/>
    <w:rsid w:val="00BB4623"/>
    <w:rsid w:val="00BD7431"/>
    <w:rsid w:val="00C121E8"/>
    <w:rsid w:val="00C22DA9"/>
    <w:rsid w:val="00C30CC4"/>
    <w:rsid w:val="00C50970"/>
    <w:rsid w:val="00C51DB5"/>
    <w:rsid w:val="00CB29B7"/>
    <w:rsid w:val="00CB714A"/>
    <w:rsid w:val="00CD542D"/>
    <w:rsid w:val="00CD6C5F"/>
    <w:rsid w:val="00CE111F"/>
    <w:rsid w:val="00D00488"/>
    <w:rsid w:val="00D52C90"/>
    <w:rsid w:val="00D84263"/>
    <w:rsid w:val="00D91D76"/>
    <w:rsid w:val="00D93B9E"/>
    <w:rsid w:val="00D95490"/>
    <w:rsid w:val="00DF3209"/>
    <w:rsid w:val="00E10424"/>
    <w:rsid w:val="00E174F7"/>
    <w:rsid w:val="00E664E9"/>
    <w:rsid w:val="00E934E8"/>
    <w:rsid w:val="00E97506"/>
    <w:rsid w:val="00EA3743"/>
    <w:rsid w:val="00EA3AAC"/>
    <w:rsid w:val="00EA5AEE"/>
    <w:rsid w:val="00EB6ED3"/>
    <w:rsid w:val="00EF7D8B"/>
    <w:rsid w:val="00F01726"/>
    <w:rsid w:val="00F13AD7"/>
    <w:rsid w:val="00F14250"/>
    <w:rsid w:val="00F36751"/>
    <w:rsid w:val="00F51BAA"/>
    <w:rsid w:val="00F62BB4"/>
    <w:rsid w:val="00F83D8A"/>
    <w:rsid w:val="00FB34FD"/>
    <w:rsid w:val="00FD2502"/>
    <w:rsid w:val="00FD438B"/>
    <w:rsid w:val="00FE17BB"/>
    <w:rsid w:val="036C7720"/>
    <w:rsid w:val="06140AC7"/>
    <w:rsid w:val="06F76BE2"/>
    <w:rsid w:val="078E3B26"/>
    <w:rsid w:val="082E5FE4"/>
    <w:rsid w:val="090D4273"/>
    <w:rsid w:val="091E4CD7"/>
    <w:rsid w:val="0A2D6338"/>
    <w:rsid w:val="0D4D7CEC"/>
    <w:rsid w:val="0DA118AF"/>
    <w:rsid w:val="10374748"/>
    <w:rsid w:val="10B76083"/>
    <w:rsid w:val="14B012B0"/>
    <w:rsid w:val="17C60870"/>
    <w:rsid w:val="188626AB"/>
    <w:rsid w:val="1B927E51"/>
    <w:rsid w:val="1C411FE9"/>
    <w:rsid w:val="1D2430E0"/>
    <w:rsid w:val="219A7344"/>
    <w:rsid w:val="24B53444"/>
    <w:rsid w:val="26292D9A"/>
    <w:rsid w:val="27C6195D"/>
    <w:rsid w:val="27EC51F7"/>
    <w:rsid w:val="2A437B46"/>
    <w:rsid w:val="2B3A2149"/>
    <w:rsid w:val="316D50A6"/>
    <w:rsid w:val="3A540CBF"/>
    <w:rsid w:val="3A5F2C38"/>
    <w:rsid w:val="3A795A4C"/>
    <w:rsid w:val="3B4F705C"/>
    <w:rsid w:val="3BA55B2E"/>
    <w:rsid w:val="3BB70672"/>
    <w:rsid w:val="3EA252C0"/>
    <w:rsid w:val="3EC71AD7"/>
    <w:rsid w:val="44BE312A"/>
    <w:rsid w:val="44C50A1F"/>
    <w:rsid w:val="45C519A0"/>
    <w:rsid w:val="4600738F"/>
    <w:rsid w:val="48E35262"/>
    <w:rsid w:val="49D64210"/>
    <w:rsid w:val="4A617704"/>
    <w:rsid w:val="4BC6475D"/>
    <w:rsid w:val="4D4A67A2"/>
    <w:rsid w:val="503405A6"/>
    <w:rsid w:val="51A80E36"/>
    <w:rsid w:val="522B4FB9"/>
    <w:rsid w:val="541923EC"/>
    <w:rsid w:val="546F53C5"/>
    <w:rsid w:val="5480447E"/>
    <w:rsid w:val="56EA514D"/>
    <w:rsid w:val="57C03D2E"/>
    <w:rsid w:val="5B465391"/>
    <w:rsid w:val="5B4B5B67"/>
    <w:rsid w:val="5DF367E1"/>
    <w:rsid w:val="5FA13855"/>
    <w:rsid w:val="62CF502E"/>
    <w:rsid w:val="63112889"/>
    <w:rsid w:val="634516EB"/>
    <w:rsid w:val="63DC4CDF"/>
    <w:rsid w:val="63F04DB1"/>
    <w:rsid w:val="66C7589F"/>
    <w:rsid w:val="6842639E"/>
    <w:rsid w:val="69AF1AF9"/>
    <w:rsid w:val="6A9A0D84"/>
    <w:rsid w:val="6B97434E"/>
    <w:rsid w:val="6C6C3E75"/>
    <w:rsid w:val="6ECE7EB7"/>
    <w:rsid w:val="70536360"/>
    <w:rsid w:val="70AC1ED3"/>
    <w:rsid w:val="71282AB9"/>
    <w:rsid w:val="714E2481"/>
    <w:rsid w:val="717121EC"/>
    <w:rsid w:val="72424F4C"/>
    <w:rsid w:val="724D574D"/>
    <w:rsid w:val="740F0C14"/>
    <w:rsid w:val="74BF769C"/>
    <w:rsid w:val="75B468AF"/>
    <w:rsid w:val="792A31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新宋体" w:eastAsia="仿宋_GB2312" w:cs="Times New Roman"/>
      <w:kern w:val="2"/>
      <w:sz w:val="32"/>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style>
  <w:style w:type="paragraph" w:styleId="3">
    <w:name w:val="annotation text"/>
    <w:basedOn w:val="1"/>
    <w:link w:val="43"/>
    <w:qFormat/>
    <w:uiPriority w:val="0"/>
    <w:pPr>
      <w:spacing w:line="360" w:lineRule="auto"/>
      <w:ind w:firstLine="200" w:firstLineChars="200"/>
      <w:jc w:val="left"/>
    </w:pPr>
    <w:rPr>
      <w:rFonts w:ascii="Calibri" w:hAnsi="Calibri" w:eastAsia="宋体"/>
      <w:sz w:val="28"/>
      <w:szCs w:val="22"/>
    </w:rPr>
  </w:style>
  <w:style w:type="paragraph" w:styleId="4">
    <w:name w:val="Date"/>
    <w:basedOn w:val="1"/>
    <w:next w:val="1"/>
    <w:link w:val="201"/>
    <w:qFormat/>
    <w:uiPriority w:val="0"/>
    <w:pPr>
      <w:ind w:left="100" w:leftChars="2500"/>
    </w:pPr>
  </w:style>
  <w:style w:type="paragraph" w:styleId="5">
    <w:name w:val="Balloon Text"/>
    <w:basedOn w:val="1"/>
    <w:link w:val="69"/>
    <w:qFormat/>
    <w:uiPriority w:val="0"/>
    <w:rPr>
      <w:sz w:val="18"/>
      <w:szCs w:val="18"/>
    </w:rPr>
  </w:style>
  <w:style w:type="paragraph" w:styleId="6">
    <w:name w:val="footer"/>
    <w:basedOn w:val="1"/>
    <w:link w:val="14"/>
    <w:unhideWhenUsed/>
    <w:qFormat/>
    <w:uiPriority w:val="0"/>
    <w:pPr>
      <w:tabs>
        <w:tab w:val="center" w:pos="4153"/>
        <w:tab w:val="right" w:pos="8306"/>
      </w:tabs>
      <w:snapToGrid w:val="0"/>
      <w:jc w:val="left"/>
    </w:pPr>
    <w:rPr>
      <w:sz w:val="18"/>
      <w:szCs w:val="18"/>
    </w:rPr>
  </w:style>
  <w:style w:type="paragraph" w:styleId="7">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页眉 Char"/>
    <w:basedOn w:val="11"/>
    <w:link w:val="7"/>
    <w:semiHidden/>
    <w:qFormat/>
    <w:uiPriority w:val="99"/>
    <w:rPr>
      <w:sz w:val="18"/>
      <w:szCs w:val="18"/>
    </w:rPr>
  </w:style>
  <w:style w:type="character" w:customStyle="1" w:styleId="14">
    <w:name w:val="页脚 Char"/>
    <w:basedOn w:val="11"/>
    <w:link w:val="6"/>
    <w:semiHidden/>
    <w:qFormat/>
    <w:uiPriority w:val="99"/>
    <w:rPr>
      <w:sz w:val="18"/>
      <w:szCs w:val="18"/>
    </w:rPr>
  </w:style>
  <w:style w:type="character" w:customStyle="1" w:styleId="15">
    <w:name w:val="样式261"/>
    <w:qFormat/>
    <w:uiPriority w:val="0"/>
    <w:rPr>
      <w:rFonts w:hint="eastAsia" w:ascii="黑体" w:eastAsia="黑体"/>
      <w:color w:val="000000"/>
      <w:sz w:val="30"/>
      <w:szCs w:val="30"/>
    </w:rPr>
  </w:style>
  <w:style w:type="paragraph" w:customStyle="1" w:styleId="16">
    <w:name w:val="et1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
    <w:name w:val="et2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8">
    <w:name w:val="et14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
    <w:name w:val="et15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0">
    <w:name w:val="et2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21">
    <w:name w:val="et119"/>
    <w:basedOn w:val="1"/>
    <w:qFormat/>
    <w:uiPriority w:val="0"/>
    <w:pPr>
      <w:widowControl/>
      <w:pBdr>
        <w:top w:val="single" w:color="808000" w:sz="4" w:space="0"/>
        <w:left w:val="single" w:color="808000" w:sz="4" w:space="0"/>
        <w:bottom w:val="single" w:color="808000" w:sz="4" w:space="0"/>
        <w:right w:val="single" w:color="808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2">
    <w:name w:val="et15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3">
    <w:name w:val="et241"/>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4">
    <w:name w:val="et217"/>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5">
    <w:name w:val="et15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6">
    <w:name w:val="et14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7">
    <w:name w:val="et2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8">
    <w:name w:val="et1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9">
    <w:name w:val="et18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333300"/>
      <w:kern w:val="0"/>
      <w:sz w:val="20"/>
      <w:szCs w:val="20"/>
    </w:rPr>
  </w:style>
  <w:style w:type="paragraph" w:customStyle="1" w:styleId="30">
    <w:name w:val="et1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1">
    <w:name w:val="et254"/>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32">
    <w:name w:val="et260"/>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33">
    <w:name w:val="et9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34">
    <w:name w:val="et1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5">
    <w:name w:val="et155"/>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6">
    <w:name w:val="et23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37">
    <w:name w:val="et15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8">
    <w:name w:val="et20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39">
    <w:name w:val="et10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40">
    <w:name w:val="et1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1">
    <w:name w:val="et16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2">
    <w:name w:val="et277"/>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36"/>
      <w:szCs w:val="36"/>
    </w:rPr>
  </w:style>
  <w:style w:type="character" w:customStyle="1" w:styleId="43">
    <w:name w:val="批注文字 Char"/>
    <w:basedOn w:val="11"/>
    <w:link w:val="3"/>
    <w:qFormat/>
    <w:uiPriority w:val="0"/>
    <w:rPr>
      <w:rFonts w:ascii="Calibri" w:hAnsi="Calibri" w:eastAsia="宋体" w:cs="Times New Roman"/>
      <w:sz w:val="28"/>
    </w:rPr>
  </w:style>
  <w:style w:type="paragraph" w:customStyle="1" w:styleId="44">
    <w:name w:val="et106"/>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45">
    <w:name w:val="et18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6">
    <w:name w:val="et213"/>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47">
    <w:name w:val="et1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8">
    <w:name w:val="et16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9">
    <w:name w:val="et226"/>
    <w:basedOn w:val="1"/>
    <w:qFormat/>
    <w:uiPriority w:val="0"/>
    <w:pPr>
      <w:widowControl/>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50">
    <w:name w:val="et23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1">
    <w:name w:val="et239"/>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52">
    <w:name w:val="et16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3">
    <w:name w:val="et221"/>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4">
    <w:name w:val="et1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5">
    <w:name w:val="et17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6">
    <w:name w:val="et1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7">
    <w:name w:val="et229"/>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8">
    <w:name w:val="et17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9">
    <w:name w:val="et256"/>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60">
    <w:name w:val="et210"/>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61">
    <w:name w:val="et23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62">
    <w:name w:val="et17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63">
    <w:name w:val="et13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64">
    <w:name w:val="et22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65">
    <w:name w:val="et2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66">
    <w:name w:val="et20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67">
    <w:name w:val="Char Char Char Char"/>
    <w:basedOn w:val="1"/>
    <w:qFormat/>
    <w:uiPriority w:val="0"/>
    <w:rPr>
      <w:rFonts w:ascii="Times New Roman" w:hAnsi="Times New Roman" w:eastAsia="宋体"/>
      <w:sz w:val="21"/>
      <w:szCs w:val="20"/>
    </w:rPr>
  </w:style>
  <w:style w:type="paragraph" w:customStyle="1" w:styleId="68">
    <w:name w:val="et19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character" w:customStyle="1" w:styleId="69">
    <w:name w:val="批注框文本 Char"/>
    <w:basedOn w:val="11"/>
    <w:link w:val="5"/>
    <w:qFormat/>
    <w:uiPriority w:val="0"/>
    <w:rPr>
      <w:rFonts w:ascii="仿宋_GB2312" w:hAnsi="新宋体" w:eastAsia="仿宋_GB2312" w:cs="Times New Roman"/>
      <w:sz w:val="18"/>
      <w:szCs w:val="18"/>
    </w:rPr>
  </w:style>
  <w:style w:type="paragraph" w:customStyle="1" w:styleId="70">
    <w:name w:val="et232"/>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71">
    <w:name w:val="et14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2">
    <w:name w:val="et1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3">
    <w:name w:val="et2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74">
    <w:name w:val="et1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5">
    <w:name w:val="et202"/>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76">
    <w:name w:val="et24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77">
    <w:name w:val="et105"/>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78">
    <w:name w:val="et18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9">
    <w:name w:val="et8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80">
    <w:name w:val="et2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81">
    <w:name w:val="et20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82">
    <w:name w:val="et258"/>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83">
    <w:name w:val="et103"/>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84">
    <w:name w:val="et10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85">
    <w:name w:val="et13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6">
    <w:name w:val="et1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7">
    <w:name w:val="et12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8">
    <w:name w:val="et192"/>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36"/>
      <w:szCs w:val="36"/>
    </w:rPr>
  </w:style>
  <w:style w:type="paragraph" w:customStyle="1" w:styleId="89">
    <w:name w:val="et15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0">
    <w:name w:val="et14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1">
    <w:name w:val="et25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92">
    <w:name w:val="et18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3">
    <w:name w:val="et234"/>
    <w:basedOn w:val="1"/>
    <w:qFormat/>
    <w:uiPriority w:val="0"/>
    <w:pPr>
      <w:widowControl/>
      <w:pBdr>
        <w:top w:val="single" w:color="808000" w:sz="4" w:space="0"/>
        <w:left w:val="single" w:color="808000" w:sz="4" w:space="0"/>
        <w:bottom w:val="single" w:color="808000" w:sz="4" w:space="0"/>
        <w:right w:val="single" w:color="808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4">
    <w:name w:val="et1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5">
    <w:name w:val="et14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6">
    <w:name w:val="et26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97">
    <w:name w:val="et231"/>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98">
    <w:name w:val="et13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9">
    <w:name w:val="et120"/>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0">
    <w:name w:val="et1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1">
    <w:name w:val="et1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2">
    <w:name w:val="et12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3">
    <w:name w:val="et252"/>
    <w:basedOn w:val="1"/>
    <w:qFormat/>
    <w:uiPriority w:val="0"/>
    <w:pPr>
      <w:widowControl/>
      <w:pBdr>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04">
    <w:name w:val="et16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5">
    <w:name w:val="et22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06">
    <w:name w:val="et251"/>
    <w:basedOn w:val="1"/>
    <w:qFormat/>
    <w:uiPriority w:val="0"/>
    <w:pPr>
      <w:widowControl/>
      <w:pBdr>
        <w:top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07">
    <w:name w:val="et14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8">
    <w:name w:val="et191"/>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36"/>
      <w:szCs w:val="36"/>
    </w:rPr>
  </w:style>
  <w:style w:type="paragraph" w:customStyle="1" w:styleId="109">
    <w:name w:val="et1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10">
    <w:name w:val="et274"/>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11">
    <w:name w:val="et12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12">
    <w:name w:val="et10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13">
    <w:name w:val="et14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14">
    <w:name w:val="et255"/>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15">
    <w:name w:val="et280"/>
    <w:basedOn w:val="1"/>
    <w:qFormat/>
    <w:uiPriority w:val="0"/>
    <w:pPr>
      <w:widowControl/>
      <w:spacing w:before="100" w:beforeAutospacing="1" w:after="100" w:afterAutospacing="1"/>
      <w:jc w:val="left"/>
      <w:textAlignment w:val="center"/>
    </w:pPr>
    <w:rPr>
      <w:rFonts w:ascii="宋体" w:hAnsi="宋体" w:eastAsia="宋体" w:cs="宋体"/>
      <w:color w:val="000000"/>
      <w:kern w:val="0"/>
      <w:sz w:val="24"/>
    </w:rPr>
  </w:style>
  <w:style w:type="paragraph" w:customStyle="1" w:styleId="116">
    <w:name w:val="et107"/>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17">
    <w:name w:val="et13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18">
    <w:name w:val="et22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19">
    <w:name w:val="et26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20">
    <w:name w:val="et259"/>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21">
    <w:name w:val="et253"/>
    <w:basedOn w:val="1"/>
    <w:qFormat/>
    <w:uiPriority w:val="0"/>
    <w:pPr>
      <w:widowControl/>
      <w:pBdr>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22">
    <w:name w:val="et11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23">
    <w:name w:val="et2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24">
    <w:name w:val="et2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25">
    <w:name w:val="et24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26">
    <w:name w:val="et18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27">
    <w:name w:val="et209"/>
    <w:basedOn w:val="1"/>
    <w:qFormat/>
    <w:uiPriority w:val="0"/>
    <w:pPr>
      <w:widowControl/>
      <w:pBdr>
        <w:left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28">
    <w:name w:val="et20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29">
    <w:name w:val="et15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30">
    <w:name w:val="et1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31">
    <w:name w:val="et278"/>
    <w:basedOn w:val="1"/>
    <w:qFormat/>
    <w:uiPriority w:val="0"/>
    <w:pPr>
      <w:widowControl/>
      <w:spacing w:before="100" w:beforeAutospacing="1" w:after="100" w:afterAutospacing="1"/>
      <w:jc w:val="center"/>
      <w:textAlignment w:val="center"/>
    </w:pPr>
    <w:rPr>
      <w:rFonts w:ascii="宋体" w:hAnsi="宋体" w:eastAsia="宋体" w:cs="宋体"/>
      <w:color w:val="000000"/>
      <w:kern w:val="0"/>
      <w:sz w:val="24"/>
    </w:rPr>
  </w:style>
  <w:style w:type="paragraph" w:customStyle="1" w:styleId="132">
    <w:name w:val="et272"/>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33">
    <w:name w:val="et271"/>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34">
    <w:name w:val="et1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35">
    <w:name w:val="et24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36">
    <w:name w:val="et19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37">
    <w:name w:val="et281"/>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38">
    <w:name w:val="et1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39">
    <w:name w:val="et223"/>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0">
    <w:name w:val="et2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41">
    <w:name w:val="et102"/>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2">
    <w:name w:val="et26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3">
    <w:name w:val="et248"/>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44">
    <w:name w:val="et1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45">
    <w:name w:val="正文1 Char Char Char"/>
    <w:basedOn w:val="1"/>
    <w:qFormat/>
    <w:uiPriority w:val="0"/>
    <w:pPr>
      <w:spacing w:line="360" w:lineRule="auto"/>
      <w:ind w:firstLine="200" w:firstLineChars="200"/>
    </w:pPr>
  </w:style>
  <w:style w:type="paragraph" w:customStyle="1" w:styleId="146">
    <w:name w:val="et10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7">
    <w:name w:val="et19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8">
    <w:name w:val="Char1"/>
    <w:basedOn w:val="1"/>
    <w:qFormat/>
    <w:uiPriority w:val="0"/>
    <w:rPr>
      <w:rFonts w:ascii="Times New Roman" w:hAnsi="Times New Roman" w:eastAsia="宋体"/>
      <w:sz w:val="21"/>
    </w:rPr>
  </w:style>
  <w:style w:type="paragraph" w:customStyle="1" w:styleId="149">
    <w:name w:val="et15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0">
    <w:name w:val="et240"/>
    <w:basedOn w:val="1"/>
    <w:qFormat/>
    <w:uiPriority w:val="0"/>
    <w:pPr>
      <w:widowControl/>
      <w:pBdr>
        <w:top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51">
    <w:name w:val="et18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2">
    <w:name w:val="et275"/>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53">
    <w:name w:val="et1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4">
    <w:name w:val="et243"/>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55">
    <w:name w:val="et1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6">
    <w:name w:val="et13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7">
    <w:name w:val="et1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8">
    <w:name w:val="et2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styleId="159">
    <w:name w:val="List Paragraph"/>
    <w:basedOn w:val="1"/>
    <w:qFormat/>
    <w:uiPriority w:val="0"/>
    <w:pPr>
      <w:spacing w:line="360" w:lineRule="auto"/>
      <w:ind w:firstLine="420" w:firstLineChars="200"/>
    </w:pPr>
    <w:rPr>
      <w:rFonts w:ascii="Calibri" w:hAnsi="Calibri" w:eastAsia="宋体"/>
      <w:sz w:val="28"/>
      <w:szCs w:val="22"/>
    </w:rPr>
  </w:style>
  <w:style w:type="paragraph" w:customStyle="1" w:styleId="160">
    <w:name w:val="et15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61">
    <w:name w:val="et224"/>
    <w:basedOn w:val="1"/>
    <w:qFormat/>
    <w:uiPriority w:val="0"/>
    <w:pPr>
      <w:widowControl/>
      <w:pBdr>
        <w:top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62">
    <w:name w:val="et228"/>
    <w:basedOn w:val="1"/>
    <w:qFormat/>
    <w:uiPriority w:val="0"/>
    <w:pPr>
      <w:widowControl/>
      <w:pBdr>
        <w:top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63">
    <w:name w:val="et265"/>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64">
    <w:name w:val="et19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65">
    <w:name w:val="et199"/>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66">
    <w:name w:val="et1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67">
    <w:name w:val="et225"/>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68">
    <w:name w:val="et1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69">
    <w:name w:val="et24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70">
    <w:name w:val="et2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71">
    <w:name w:val="et19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72">
    <w:name w:val="et1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3">
    <w:name w:val="et184"/>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4">
    <w:name w:val="et206"/>
    <w:basedOn w:val="1"/>
    <w:qFormat/>
    <w:uiPriority w:val="0"/>
    <w:pPr>
      <w:widowControl/>
      <w:pBdr>
        <w:top w:val="single" w:color="000000" w:sz="4" w:space="0"/>
        <w:lef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75">
    <w:name w:val="et257"/>
    <w:basedOn w:val="1"/>
    <w:qFormat/>
    <w:uiPriority w:val="0"/>
    <w:pPr>
      <w:widowControl/>
      <w:pBdr>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76">
    <w:name w:val="et15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7">
    <w:name w:val="et1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8">
    <w:name w:val="et1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9">
    <w:name w:val="et20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80">
    <w:name w:val="et21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81">
    <w:name w:val="et13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2">
    <w:name w:val="et237"/>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83">
    <w:name w:val="et1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4">
    <w:name w:val="et211"/>
    <w:basedOn w:val="1"/>
    <w:qFormat/>
    <w:uiPriority w:val="0"/>
    <w:pPr>
      <w:widowControl/>
      <w:pBdr>
        <w:top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85">
    <w:name w:val="et163"/>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6">
    <w:name w:val="et23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87">
    <w:name w:val="et273"/>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88">
    <w:name w:val="et244"/>
    <w:basedOn w:val="1"/>
    <w:qFormat/>
    <w:uiPriority w:val="0"/>
    <w:pPr>
      <w:widowControl/>
      <w:pBdr>
        <w:top w:val="single" w:color="808000" w:sz="4" w:space="0"/>
        <w:left w:val="single" w:color="808000" w:sz="4" w:space="0"/>
        <w:bottom w:val="single" w:color="808000" w:sz="4" w:space="0"/>
        <w:right w:val="single" w:color="808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9">
    <w:name w:val="et1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0">
    <w:name w:val="et14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1">
    <w:name w:val="et1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2">
    <w:name w:val="et247"/>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93">
    <w:name w:val="et18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4">
    <w:name w:val="et204"/>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95">
    <w:name w:val="et2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96">
    <w:name w:val="et19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97">
    <w:name w:val="et1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8">
    <w:name w:val="et14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9">
    <w:name w:val="et270"/>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200">
    <w:name w:val="et20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character" w:customStyle="1" w:styleId="201">
    <w:name w:val="日期 Char"/>
    <w:basedOn w:val="11"/>
    <w:link w:val="4"/>
    <w:qFormat/>
    <w:uiPriority w:val="0"/>
    <w:rPr>
      <w:rFonts w:ascii="仿宋_GB2312" w:hAnsi="新宋体" w:eastAsia="仿宋_GB2312" w:cs="Times New Roman"/>
      <w:sz w:val="32"/>
      <w:szCs w:val="24"/>
    </w:rPr>
  </w:style>
  <w:style w:type="paragraph" w:customStyle="1" w:styleId="202">
    <w:name w:val="et279"/>
    <w:basedOn w:val="1"/>
    <w:qFormat/>
    <w:uiPriority w:val="0"/>
    <w:pPr>
      <w:widowControl/>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03">
    <w:name w:val="et14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character" w:customStyle="1" w:styleId="204">
    <w:name w:val="font51"/>
    <w:basedOn w:val="11"/>
    <w:qFormat/>
    <w:uiPriority w:val="0"/>
    <w:rPr>
      <w:rFonts w:hint="eastAsia" w:ascii="宋体" w:hAnsi="宋体" w:eastAsia="宋体" w:cs="宋体"/>
      <w:color w:val="auto"/>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4B0AD-D62A-409B-9771-05E70B44C0E0}">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13</Pages>
  <Words>5499</Words>
  <Characters>5898</Characters>
  <Lines>57</Lines>
  <Paragraphs>16</Paragraphs>
  <TotalTime>11</TotalTime>
  <ScaleCrop>false</ScaleCrop>
  <LinksUpToDate>false</LinksUpToDate>
  <CharactersWithSpaces>5948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2020-05-26T02:08:00Z</dcterms:created>
  <dc:creator>赵蔚红</dc:creator>
  <cp:lastModifiedBy>严瑞</cp:lastModifiedBy>
  <cp:lastPrinted>2020-05-29T02:12:00Z</cp:lastPrinted>
  <dcterms:modified xsi:type="dcterms:W3CDTF">2022-08-29T09:08:38Z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83DA70F1AB0F4A57B30F5AC44FA41395</vt:lpwstr>
  </property>
</Properties>
</file>