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78" w:lineRule="exact"/>
        <w:jc w:val="center"/>
        <w:rPr>
          <w:rFonts w:hint="eastAsia" w:ascii="方正小标宋简体" w:hAnsi="方正小标宋简体" w:eastAsia="方正小标宋简体" w:cs="方正小标宋简体"/>
          <w:b w:val="0"/>
          <w:bCs w:val="0"/>
          <w:color w:val="000000" w:themeColor="text1"/>
          <w:sz w:val="44"/>
          <w:szCs w:val="44"/>
        </w:rPr>
      </w:pPr>
      <w:r>
        <w:rPr>
          <w:rFonts w:hint="eastAsia" w:ascii="方正小标宋简体" w:hAnsi="方正小标宋简体" w:eastAsia="方正小标宋简体" w:cs="方正小标宋简体"/>
          <w:b w:val="0"/>
          <w:bCs w:val="0"/>
          <w:color w:val="000000" w:themeColor="text1"/>
          <w:sz w:val="44"/>
          <w:szCs w:val="44"/>
        </w:rPr>
        <w:t>2022年地震灾害风险防治项目绩效自评报告</w:t>
      </w:r>
    </w:p>
    <w:p>
      <w:pPr>
        <w:spacing w:line="578" w:lineRule="exact"/>
        <w:ind w:firstLine="640" w:firstLineChars="200"/>
        <w:outlineLvl w:val="0"/>
        <w:rPr>
          <w:rFonts w:ascii="黑体" w:hAnsi="黑体" w:eastAsia="黑体" w:cs="黑体"/>
          <w:color w:val="000000" w:themeColor="text1"/>
        </w:rPr>
      </w:pPr>
      <w:r>
        <w:rPr>
          <w:rFonts w:hint="eastAsia" w:ascii="黑体" w:hAnsi="黑体" w:eastAsia="黑体" w:cs="黑体"/>
          <w:color w:val="000000" w:themeColor="text1"/>
        </w:rPr>
        <w:t>一、项目概况</w:t>
      </w:r>
    </w:p>
    <w:p>
      <w:pPr>
        <w:spacing w:line="578" w:lineRule="exact"/>
        <w:ind w:firstLine="640" w:firstLineChars="200"/>
        <w:rPr>
          <w:color w:val="000000" w:themeColor="text1"/>
          <w:szCs w:val="32"/>
        </w:rPr>
      </w:pPr>
      <w:r>
        <w:rPr>
          <w:rFonts w:hint="eastAsia"/>
          <w:color w:val="000000" w:themeColor="text1"/>
          <w:szCs w:val="32"/>
        </w:rPr>
        <w:t>（一）项目基本情况</w:t>
      </w:r>
    </w:p>
    <w:p>
      <w:pPr>
        <w:pStyle w:val="3"/>
        <w:ind w:firstLine="640"/>
        <w:rPr>
          <w:color w:val="000000" w:themeColor="text1"/>
        </w:rPr>
      </w:pPr>
      <w:r>
        <w:rPr>
          <w:rFonts w:hint="eastAsia"/>
          <w:color w:val="000000" w:themeColor="text1"/>
          <w:szCs w:val="32"/>
        </w:rPr>
        <w:t>1.立项情况</w:t>
      </w:r>
    </w:p>
    <w:p>
      <w:pPr>
        <w:spacing w:line="578" w:lineRule="exact"/>
        <w:ind w:firstLine="640" w:firstLineChars="200"/>
        <w:rPr>
          <w:rFonts w:hAnsi="宋体" w:cs="仿宋_GB2312"/>
          <w:color w:val="000000" w:themeColor="text1"/>
          <w:szCs w:val="32"/>
          <w:shd w:val="clear" w:color="auto" w:fill="FFFFFF"/>
        </w:rPr>
      </w:pPr>
      <w:r>
        <w:rPr>
          <w:color w:val="000000" w:themeColor="text1"/>
        </w:rPr>
        <w:t>为贯彻落实习近平总书记关于防灾减灾救灾和提高自然灾害防治能力重要论述，推进</w:t>
      </w:r>
      <w:r>
        <w:rPr>
          <w:rFonts w:hint="eastAsia"/>
          <w:color w:val="000000" w:themeColor="text1"/>
        </w:rPr>
        <w:t>海南自贸港地震安全现代化建设，</w:t>
      </w:r>
      <w:r>
        <w:rPr>
          <w:rFonts w:hAnsi="宋体" w:cs="仿宋_GB2312"/>
          <w:color w:val="000000" w:themeColor="text1"/>
          <w:szCs w:val="32"/>
          <w:shd w:val="clear" w:color="auto" w:fill="FFFFFF"/>
        </w:rPr>
        <w:t>根据《</w:t>
      </w:r>
      <w:r>
        <w:rPr>
          <w:rFonts w:hint="eastAsia" w:hAnsi="宋体" w:cs="仿宋_GB2312"/>
          <w:color w:val="000000" w:themeColor="text1"/>
          <w:szCs w:val="32"/>
          <w:shd w:val="clear" w:color="auto" w:fill="FFFFFF"/>
        </w:rPr>
        <w:t>海南省人民政府关于加强地震安全保障工作的实施意见》（琼府〔2022〕1号）《海南省人民政府中国地震局合作推进海南自贸港地震安全现代化建设备忘录（2022-2025年）》《海南省地震局关于同意“海南地震监测预警站网现代化提升工程实施总体方案”“地震灾害风险防治项目总体工作方案”等的批复》（琼震发〔2022〕111号）设立该项目，项目经费用于开展地震灾害风险防治项目相关工作。</w:t>
      </w:r>
    </w:p>
    <w:p>
      <w:pPr>
        <w:pStyle w:val="3"/>
        <w:ind w:firstLine="640"/>
        <w:rPr>
          <w:color w:val="000000" w:themeColor="text1"/>
        </w:rPr>
      </w:pPr>
      <w:r>
        <w:rPr>
          <w:rFonts w:hint="eastAsia"/>
          <w:color w:val="000000" w:themeColor="text1"/>
        </w:rPr>
        <w:t>2.实施主体</w:t>
      </w:r>
    </w:p>
    <w:p>
      <w:pPr>
        <w:spacing w:line="578" w:lineRule="exact"/>
        <w:ind w:firstLine="640" w:firstLineChars="200"/>
        <w:rPr>
          <w:rFonts w:hAnsi="宋体" w:cs="仿宋_GB2312"/>
          <w:color w:val="000000" w:themeColor="text1"/>
          <w:szCs w:val="32"/>
          <w:shd w:val="clear" w:color="auto" w:fill="FFFFFF"/>
        </w:rPr>
      </w:pPr>
      <w:r>
        <w:rPr>
          <w:rFonts w:hint="eastAsia" w:hAnsi="宋体" w:cs="仿宋_GB2312"/>
          <w:color w:val="000000" w:themeColor="text1"/>
          <w:szCs w:val="32"/>
          <w:shd w:val="clear" w:color="auto" w:fill="FFFFFF"/>
        </w:rPr>
        <w:t>海南省地震局在中国地震局和省人民政府的领导下，承担全省防震减灾工作政府行政管理职能,依法履行防震减灾主管机构的各项职责。海南省震灾风险防治中心是海南省地震局直属事业单位技术支撑部门，负责承担地震灾害风险防治项目具体实施。</w:t>
      </w:r>
    </w:p>
    <w:p>
      <w:pPr>
        <w:pStyle w:val="3"/>
        <w:ind w:firstLine="640"/>
        <w:rPr>
          <w:color w:val="000000" w:themeColor="text1"/>
        </w:rPr>
      </w:pPr>
      <w:r>
        <w:rPr>
          <w:rFonts w:hint="eastAsia"/>
          <w:color w:val="000000" w:themeColor="text1"/>
        </w:rPr>
        <w:t>3.项目资金</w:t>
      </w:r>
    </w:p>
    <w:p>
      <w:pPr>
        <w:pStyle w:val="9"/>
        <w:shd w:val="clear" w:color="auto" w:fill="FFFFFF"/>
        <w:wordWrap w:val="0"/>
        <w:spacing w:before="0" w:beforeAutospacing="0" w:after="0" w:afterAutospacing="0" w:line="634" w:lineRule="atLeast"/>
        <w:ind w:firstLine="634"/>
        <w:rPr>
          <w:rFonts w:ascii="仿宋_GB2312" w:cs="仿宋_GB2312"/>
          <w:color w:val="000000" w:themeColor="text1"/>
          <w:sz w:val="32"/>
          <w:szCs w:val="32"/>
          <w:highlight w:val="none"/>
          <w:shd w:val="clear" w:color="auto" w:fill="FFFFFF"/>
        </w:rPr>
      </w:pPr>
      <w:r>
        <w:rPr>
          <w:rFonts w:ascii="仿宋_GB2312" w:hAnsi="微软雅黑" w:cs="仿宋_GB2312"/>
          <w:color w:val="000000" w:themeColor="text1"/>
          <w:sz w:val="32"/>
          <w:szCs w:val="32"/>
          <w:shd w:val="clear" w:color="auto" w:fill="FFFFFF"/>
        </w:rPr>
        <w:t>202</w:t>
      </w:r>
      <w:r>
        <w:rPr>
          <w:rFonts w:hint="eastAsia" w:ascii="仿宋_GB2312" w:hAnsi="微软雅黑" w:cs="仿宋_GB2312"/>
          <w:color w:val="000000" w:themeColor="text1"/>
          <w:sz w:val="32"/>
          <w:szCs w:val="32"/>
          <w:shd w:val="clear" w:color="auto" w:fill="FFFFFF"/>
        </w:rPr>
        <w:t>2</w:t>
      </w:r>
      <w:r>
        <w:rPr>
          <w:rFonts w:hint="eastAsia" w:ascii="仿宋_GB2312" w:cs="仿宋_GB2312"/>
          <w:color w:val="000000" w:themeColor="text1"/>
          <w:sz w:val="32"/>
          <w:szCs w:val="32"/>
          <w:shd w:val="clear" w:color="auto" w:fill="FFFFFF"/>
        </w:rPr>
        <w:t>年，我局</w:t>
      </w:r>
      <w:r>
        <w:rPr>
          <w:rFonts w:ascii="仿宋_GB2312" w:cs="仿宋_GB2312"/>
          <w:color w:val="000000" w:themeColor="text1"/>
          <w:sz w:val="32"/>
          <w:szCs w:val="32"/>
          <w:shd w:val="clear" w:color="auto" w:fill="FFFFFF"/>
        </w:rPr>
        <w:t>地震灾害风险防治</w:t>
      </w:r>
      <w:r>
        <w:rPr>
          <w:rFonts w:hint="eastAsia" w:ascii="仿宋_GB2312" w:cs="仿宋_GB2312"/>
          <w:color w:val="000000" w:themeColor="text1"/>
          <w:sz w:val="32"/>
          <w:szCs w:val="32"/>
          <w:shd w:val="clear" w:color="auto" w:fill="FFFFFF"/>
        </w:rPr>
        <w:t>项目</w:t>
      </w:r>
      <w:r>
        <w:rPr>
          <w:rFonts w:hint="eastAsia" w:ascii="仿宋_GB2312" w:cs="仿宋_GB2312"/>
          <w:color w:val="000000" w:themeColor="text1"/>
          <w:sz w:val="32"/>
          <w:szCs w:val="32"/>
          <w:highlight w:val="none"/>
          <w:shd w:val="clear" w:color="auto" w:fill="FFFFFF"/>
          <w:lang w:eastAsia="zh-CN"/>
        </w:rPr>
        <w:t>资金</w:t>
      </w:r>
      <w:r>
        <w:rPr>
          <w:rFonts w:hint="eastAsia" w:ascii="仿宋_GB2312" w:cs="仿宋_GB2312"/>
          <w:color w:val="000000" w:themeColor="text1"/>
          <w:sz w:val="32"/>
          <w:szCs w:val="32"/>
          <w:highlight w:val="none"/>
          <w:shd w:val="clear" w:color="auto" w:fill="FFFFFF"/>
        </w:rPr>
        <w:t>全部系海南省财政拨款，</w:t>
      </w:r>
      <w:r>
        <w:rPr>
          <w:rFonts w:ascii="仿宋_GB2312" w:cs="仿宋_GB2312"/>
          <w:color w:val="000000" w:themeColor="text1"/>
          <w:sz w:val="32"/>
          <w:szCs w:val="32"/>
          <w:highlight w:val="none"/>
          <w:shd w:val="clear" w:color="auto" w:fill="FFFFFF"/>
        </w:rPr>
        <w:t>项目</w:t>
      </w:r>
      <w:r>
        <w:rPr>
          <w:rFonts w:hint="eastAsia" w:ascii="仿宋_GB2312" w:cs="仿宋_GB2312"/>
          <w:color w:val="000000" w:themeColor="text1"/>
          <w:sz w:val="32"/>
          <w:szCs w:val="32"/>
          <w:highlight w:val="none"/>
          <w:shd w:val="clear" w:color="auto" w:fill="FFFFFF"/>
        </w:rPr>
        <w:t>计划投资额648万元整，实际到位</w:t>
      </w:r>
      <w:r>
        <w:rPr>
          <w:rFonts w:hint="eastAsia" w:ascii="仿宋_GB2312" w:cs="仿宋_GB2312"/>
          <w:color w:val="000000" w:themeColor="text1"/>
          <w:sz w:val="32"/>
          <w:szCs w:val="32"/>
          <w:highlight w:val="none"/>
          <w:shd w:val="clear" w:color="auto" w:fill="FFFFFF"/>
          <w:lang w:eastAsia="zh-CN"/>
        </w:rPr>
        <w:t>资金</w:t>
      </w:r>
      <w:r>
        <w:rPr>
          <w:rFonts w:hint="eastAsia" w:ascii="仿宋_GB2312" w:cs="仿宋_GB2312"/>
          <w:color w:val="000000" w:themeColor="text1"/>
          <w:sz w:val="32"/>
          <w:szCs w:val="32"/>
          <w:highlight w:val="none"/>
          <w:shd w:val="clear" w:color="auto" w:fill="FFFFFF"/>
        </w:rPr>
        <w:t>633.</w:t>
      </w:r>
      <w:r>
        <w:rPr>
          <w:rFonts w:ascii="仿宋_GB2312" w:cs="仿宋_GB2312"/>
          <w:color w:val="000000" w:themeColor="text1"/>
          <w:sz w:val="32"/>
          <w:szCs w:val="32"/>
          <w:highlight w:val="none"/>
          <w:shd w:val="clear" w:color="auto" w:fill="FFFFFF"/>
        </w:rPr>
        <w:t>3</w:t>
      </w:r>
      <w:r>
        <w:rPr>
          <w:rFonts w:hint="eastAsia" w:ascii="仿宋_GB2312" w:cs="仿宋_GB2312"/>
          <w:color w:val="000000" w:themeColor="text1"/>
          <w:sz w:val="32"/>
          <w:szCs w:val="32"/>
          <w:highlight w:val="none"/>
          <w:shd w:val="clear" w:color="auto" w:fill="FFFFFF"/>
        </w:rPr>
        <w:t>7万元，完成投资633.1</w:t>
      </w:r>
      <w:r>
        <w:rPr>
          <w:rFonts w:ascii="仿宋_GB2312" w:cs="仿宋_GB2312"/>
          <w:color w:val="000000" w:themeColor="text1"/>
          <w:sz w:val="32"/>
          <w:szCs w:val="32"/>
          <w:highlight w:val="none"/>
          <w:shd w:val="clear" w:color="auto" w:fill="FFFFFF"/>
        </w:rPr>
        <w:t>7</w:t>
      </w:r>
      <w:r>
        <w:rPr>
          <w:rFonts w:hint="eastAsia" w:ascii="仿宋_GB2312" w:cs="仿宋_GB2312"/>
          <w:color w:val="000000" w:themeColor="text1"/>
          <w:sz w:val="32"/>
          <w:szCs w:val="32"/>
          <w:highlight w:val="none"/>
          <w:shd w:val="clear" w:color="auto" w:fill="FFFFFF"/>
        </w:rPr>
        <w:t>万元。</w:t>
      </w:r>
    </w:p>
    <w:p>
      <w:pPr>
        <w:pStyle w:val="3"/>
        <w:ind w:firstLine="640"/>
        <w:rPr>
          <w:color w:val="000000" w:themeColor="text1"/>
        </w:rPr>
      </w:pPr>
      <w:r>
        <w:rPr>
          <w:rFonts w:hint="eastAsia"/>
          <w:color w:val="000000" w:themeColor="text1"/>
        </w:rPr>
        <w:t>4.主要内容</w:t>
      </w:r>
    </w:p>
    <w:p>
      <w:pPr>
        <w:spacing w:line="578" w:lineRule="exact"/>
        <w:ind w:firstLine="640" w:firstLineChars="200"/>
        <w:rPr>
          <w:rFonts w:hAnsi="宋体" w:cs="仿宋_GB2312"/>
          <w:color w:val="000000" w:themeColor="text1"/>
          <w:szCs w:val="32"/>
          <w:shd w:val="clear" w:color="auto" w:fill="FFFFFF"/>
        </w:rPr>
      </w:pPr>
      <w:r>
        <w:rPr>
          <w:rFonts w:hint="eastAsia" w:hAnsi="宋体" w:cs="仿宋_GB2312"/>
          <w:color w:val="000000" w:themeColor="text1"/>
          <w:szCs w:val="32"/>
          <w:shd w:val="clear" w:color="auto" w:fill="FFFFFF"/>
        </w:rPr>
        <w:t>开展海南主要活动断层探察，收集整理已有活动断层鉴定、探测、填图和城市活动断层探察及地震危险性评价、海域地质与地球物理探测等成果的数据资料,编制海南1:25万地震构造图和地震危险性图；基于住建等其它行业部门承灾体调查数据，完成分级地震灾害重点隐患调查评估数据库，综合评估房屋建筑和市政公共设施的地震灾害隐患等级，编制海南省级评估结果报告及地震灾害隐患分布图；完成文昌市70万平方米房屋抽样详查，编制1:25万地震灾害风险图地震区划图；加强抗震设防基础能力，推进自贸港韧性城乡地震安全琼北试验区建设。</w:t>
      </w:r>
    </w:p>
    <w:p>
      <w:pPr>
        <w:numPr>
          <w:ilvl w:val="0"/>
          <w:numId w:val="1"/>
        </w:numPr>
        <w:spacing w:line="578" w:lineRule="exact"/>
        <w:rPr>
          <w:color w:val="000000" w:themeColor="text1"/>
          <w:szCs w:val="32"/>
        </w:rPr>
      </w:pPr>
      <w:r>
        <w:rPr>
          <w:rFonts w:hint="eastAsia"/>
          <w:color w:val="000000" w:themeColor="text1"/>
          <w:szCs w:val="32"/>
        </w:rPr>
        <w:t>项目年度预算</w:t>
      </w:r>
      <w:r>
        <w:rPr>
          <w:color w:val="000000" w:themeColor="text1"/>
          <w:szCs w:val="32"/>
        </w:rPr>
        <w:t>绩效目标</w:t>
      </w:r>
      <w:r>
        <w:rPr>
          <w:rFonts w:hint="eastAsia"/>
          <w:color w:val="000000" w:themeColor="text1"/>
          <w:szCs w:val="32"/>
        </w:rPr>
        <w:t>和绩效指标设定情况</w:t>
      </w:r>
    </w:p>
    <w:p>
      <w:pPr>
        <w:ind w:firstLine="640" w:firstLineChars="200"/>
        <w:rPr>
          <w:color w:val="000000" w:themeColor="text1"/>
          <w:szCs w:val="32"/>
        </w:rPr>
      </w:pPr>
      <w:r>
        <w:rPr>
          <w:rFonts w:hint="eastAsia"/>
          <w:color w:val="000000" w:themeColor="text1"/>
          <w:szCs w:val="32"/>
        </w:rPr>
        <w:t>按照工作内容设定年度绩效目标和绩效指标，其中产出数量指标为场地类别分区图1幅、地震危险性图数据库</w:t>
      </w:r>
      <w:r>
        <w:rPr>
          <w:color w:val="000000" w:themeColor="text1"/>
          <w:szCs w:val="32"/>
        </w:rPr>
        <w:t>1</w:t>
      </w:r>
      <w:r>
        <w:rPr>
          <w:rFonts w:hint="eastAsia"/>
          <w:color w:val="000000" w:themeColor="text1"/>
          <w:szCs w:val="32"/>
        </w:rPr>
        <w:t>个、相关地震灾害风险普查技术报告</w:t>
      </w:r>
      <w:r>
        <w:rPr>
          <w:color w:val="000000" w:themeColor="text1"/>
          <w:szCs w:val="32"/>
        </w:rPr>
        <w:t>9</w:t>
      </w:r>
      <w:r>
        <w:rPr>
          <w:rFonts w:hint="eastAsia"/>
          <w:color w:val="000000" w:themeColor="text1"/>
          <w:szCs w:val="32"/>
        </w:rPr>
        <w:t>个，地震灾害风险区划与防治区划图6幅、潜在震源区分布图1幅、钻孔数据库1个；社会效益指标为有效提升全省防震减灾水平；满意度指标为震害防御人员满意度大于等于</w:t>
      </w:r>
      <w:r>
        <w:rPr>
          <w:color w:val="000000" w:themeColor="text1"/>
          <w:szCs w:val="32"/>
        </w:rPr>
        <w:t>95%</w:t>
      </w:r>
      <w:r>
        <w:rPr>
          <w:rFonts w:hint="eastAsia"/>
          <w:color w:val="000000" w:themeColor="text1"/>
          <w:szCs w:val="32"/>
        </w:rPr>
        <w:t>。</w:t>
      </w:r>
    </w:p>
    <w:p>
      <w:pPr>
        <w:numPr>
          <w:ilvl w:val="0"/>
          <w:numId w:val="2"/>
        </w:numPr>
        <w:spacing w:line="578" w:lineRule="exact"/>
        <w:ind w:firstLine="640" w:firstLineChars="200"/>
        <w:rPr>
          <w:b/>
          <w:color w:val="000000" w:themeColor="text1"/>
          <w:szCs w:val="32"/>
        </w:rPr>
      </w:pPr>
      <w:r>
        <w:rPr>
          <w:rFonts w:hint="eastAsia"/>
          <w:b/>
          <w:color w:val="000000" w:themeColor="text1"/>
          <w:szCs w:val="32"/>
        </w:rPr>
        <w:t>项目决策及资金使用及管理情况</w:t>
      </w:r>
    </w:p>
    <w:p>
      <w:pPr>
        <w:numPr>
          <w:ilvl w:val="0"/>
          <w:numId w:val="3"/>
        </w:numPr>
        <w:spacing w:line="578" w:lineRule="exact"/>
        <w:ind w:firstLine="640" w:firstLineChars="200"/>
        <w:rPr>
          <w:color w:val="000000" w:themeColor="text1"/>
          <w:szCs w:val="32"/>
          <w:highlight w:val="none"/>
        </w:rPr>
      </w:pPr>
      <w:r>
        <w:rPr>
          <w:rFonts w:hint="eastAsia"/>
          <w:color w:val="000000" w:themeColor="text1"/>
          <w:szCs w:val="32"/>
        </w:rPr>
        <w:t>项目决策情况（包括</w:t>
      </w:r>
      <w:r>
        <w:rPr>
          <w:rFonts w:hint="eastAsia"/>
          <w:color w:val="000000" w:themeColor="text1"/>
          <w:szCs w:val="32"/>
          <w:highlight w:val="none"/>
        </w:rPr>
        <w:t>决策过程和结果）</w:t>
      </w:r>
    </w:p>
    <w:p>
      <w:pPr>
        <w:ind w:firstLine="640" w:firstLineChars="200"/>
        <w:rPr>
          <w:rFonts w:hAnsi="宋体" w:cs="仿宋_GB2312"/>
          <w:color w:val="000000" w:themeColor="text1"/>
          <w:szCs w:val="32"/>
          <w:highlight w:val="none"/>
          <w:shd w:val="clear" w:color="auto" w:fill="FFFFFF"/>
        </w:rPr>
      </w:pPr>
      <w:r>
        <w:rPr>
          <w:rFonts w:hint="eastAsia" w:hAnsi="宋体" w:cs="仿宋_GB2312"/>
          <w:color w:val="000000" w:themeColor="text1"/>
          <w:szCs w:val="32"/>
          <w:highlight w:val="none"/>
          <w:shd w:val="clear" w:color="auto" w:fill="FFFFFF"/>
        </w:rPr>
        <w:t xml:space="preserve"> 为确保海南省地震灾害风险防治</w:t>
      </w:r>
      <w:r>
        <w:rPr>
          <w:rFonts w:hint="eastAsia" w:hAnsi="宋体" w:cs="仿宋_GB2312"/>
          <w:color w:val="000000" w:themeColor="text1"/>
          <w:szCs w:val="32"/>
          <w:highlight w:val="none"/>
          <w:shd w:val="clear" w:color="auto" w:fill="FFFFFF"/>
          <w:lang w:eastAsia="zh-CN"/>
        </w:rPr>
        <w:t>项目</w:t>
      </w:r>
      <w:r>
        <w:rPr>
          <w:rFonts w:hint="eastAsia" w:hAnsi="宋体" w:cs="仿宋_GB2312"/>
          <w:color w:val="000000" w:themeColor="text1"/>
          <w:szCs w:val="32"/>
          <w:highlight w:val="none"/>
          <w:shd w:val="clear" w:color="auto" w:fill="FFFFFF"/>
        </w:rPr>
        <w:t>有序开展和稳步推进，海南省地震局成立地震灾害风险防治</w:t>
      </w:r>
      <w:r>
        <w:rPr>
          <w:rFonts w:hint="eastAsia" w:hAnsi="宋体" w:cs="仿宋_GB2312"/>
          <w:color w:val="000000" w:themeColor="text1"/>
          <w:szCs w:val="32"/>
          <w:highlight w:val="none"/>
          <w:shd w:val="clear" w:color="auto" w:fill="FFFFFF"/>
          <w:lang w:eastAsia="zh-CN"/>
        </w:rPr>
        <w:t>项目</w:t>
      </w:r>
      <w:r>
        <w:rPr>
          <w:rFonts w:hint="eastAsia" w:hAnsi="宋体" w:cs="仿宋_GB2312"/>
          <w:color w:val="000000" w:themeColor="text1"/>
          <w:szCs w:val="32"/>
          <w:highlight w:val="none"/>
          <w:shd w:val="clear" w:color="auto" w:fill="FFFFFF"/>
        </w:rPr>
        <w:t>领导小组（</w:t>
      </w:r>
      <w:r>
        <w:rPr>
          <w:rFonts w:hint="eastAsia"/>
          <w:color w:val="000000" w:themeColor="text1"/>
          <w:highlight w:val="none"/>
        </w:rPr>
        <w:t>琼震发〔2022〕27号</w:t>
      </w:r>
      <w:r>
        <w:rPr>
          <w:rFonts w:hint="eastAsia" w:hAnsi="宋体" w:cs="仿宋_GB2312"/>
          <w:color w:val="000000" w:themeColor="text1"/>
          <w:szCs w:val="32"/>
          <w:highlight w:val="none"/>
          <w:shd w:val="clear" w:color="auto" w:fill="FFFFFF"/>
        </w:rPr>
        <w:t>）。项目领导小组组织专家咨询、评审《地震灾害风险防治项目总体工作方案》和《地震灾害风险防治项目2</w:t>
      </w:r>
      <w:r>
        <w:rPr>
          <w:rFonts w:hAnsi="宋体" w:cs="仿宋_GB2312"/>
          <w:color w:val="000000" w:themeColor="text1"/>
          <w:szCs w:val="32"/>
          <w:highlight w:val="none"/>
          <w:shd w:val="clear" w:color="auto" w:fill="FFFFFF"/>
        </w:rPr>
        <w:t>022</w:t>
      </w:r>
      <w:r>
        <w:rPr>
          <w:rFonts w:hint="eastAsia" w:hAnsi="宋体" w:cs="仿宋_GB2312"/>
          <w:color w:val="000000" w:themeColor="text1"/>
          <w:szCs w:val="32"/>
          <w:highlight w:val="none"/>
          <w:shd w:val="clear" w:color="auto" w:fill="FFFFFF"/>
        </w:rPr>
        <w:t>年度工作实施方案》，并提交海南省地震局局党组审定。</w:t>
      </w:r>
    </w:p>
    <w:p>
      <w:pPr>
        <w:spacing w:line="578" w:lineRule="exact"/>
        <w:ind w:firstLine="640" w:firstLineChars="200"/>
        <w:rPr>
          <w:color w:val="000000" w:themeColor="text1"/>
          <w:szCs w:val="32"/>
          <w:highlight w:val="none"/>
        </w:rPr>
      </w:pPr>
      <w:r>
        <w:rPr>
          <w:rFonts w:hint="eastAsia"/>
          <w:color w:val="000000" w:themeColor="text1"/>
          <w:szCs w:val="32"/>
          <w:highlight w:val="none"/>
        </w:rPr>
        <w:t>（二）项目资金到位情况分析</w:t>
      </w:r>
    </w:p>
    <w:p>
      <w:pPr>
        <w:pStyle w:val="9"/>
        <w:shd w:val="clear" w:color="auto" w:fill="FFFFFF"/>
        <w:wordWrap w:val="0"/>
        <w:spacing w:before="0" w:beforeAutospacing="0" w:after="0" w:afterAutospacing="0" w:line="634" w:lineRule="atLeast"/>
        <w:ind w:firstLine="634"/>
        <w:rPr>
          <w:rFonts w:ascii="仿宋_GB2312" w:hAnsi="新宋体" w:cs="Times New Roman"/>
          <w:color w:val="000000" w:themeColor="text1"/>
          <w:kern w:val="2"/>
          <w:sz w:val="32"/>
          <w:szCs w:val="32"/>
          <w:highlight w:val="none"/>
        </w:rPr>
      </w:pPr>
      <w:r>
        <w:rPr>
          <w:rFonts w:hint="eastAsia" w:ascii="仿宋_GB2312" w:hAnsi="新宋体" w:cs="Times New Roman"/>
          <w:color w:val="000000" w:themeColor="text1"/>
          <w:kern w:val="2"/>
          <w:sz w:val="32"/>
          <w:szCs w:val="32"/>
          <w:highlight w:val="none"/>
        </w:rPr>
        <w:t>本项目实施时间为2022年1月至2022年12月。全部系海南省财政拨款，计划投资额648万元整，实际到位</w:t>
      </w:r>
      <w:r>
        <w:rPr>
          <w:rFonts w:hint="eastAsia" w:ascii="仿宋_GB2312" w:hAnsi="新宋体" w:cs="Times New Roman"/>
          <w:color w:val="000000" w:themeColor="text1"/>
          <w:kern w:val="2"/>
          <w:sz w:val="32"/>
          <w:szCs w:val="32"/>
          <w:highlight w:val="none"/>
          <w:lang w:eastAsia="zh-CN"/>
        </w:rPr>
        <w:t>资金</w:t>
      </w:r>
      <w:r>
        <w:rPr>
          <w:rFonts w:hint="eastAsia" w:ascii="仿宋_GB2312" w:hAnsi="新宋体" w:cs="Times New Roman"/>
          <w:color w:val="000000" w:themeColor="text1"/>
          <w:kern w:val="2"/>
          <w:sz w:val="32"/>
          <w:szCs w:val="32"/>
          <w:highlight w:val="none"/>
        </w:rPr>
        <w:t>633.</w:t>
      </w:r>
      <w:r>
        <w:rPr>
          <w:rFonts w:ascii="仿宋_GB2312" w:hAnsi="新宋体" w:cs="Times New Roman"/>
          <w:color w:val="000000" w:themeColor="text1"/>
          <w:kern w:val="2"/>
          <w:sz w:val="32"/>
          <w:szCs w:val="32"/>
          <w:highlight w:val="none"/>
        </w:rPr>
        <w:t>3</w:t>
      </w:r>
      <w:r>
        <w:rPr>
          <w:rFonts w:hint="eastAsia" w:ascii="仿宋_GB2312" w:hAnsi="新宋体" w:cs="Times New Roman"/>
          <w:color w:val="000000" w:themeColor="text1"/>
          <w:kern w:val="2"/>
          <w:sz w:val="32"/>
          <w:szCs w:val="32"/>
          <w:highlight w:val="none"/>
        </w:rPr>
        <w:t>7万元，完成投资633.1</w:t>
      </w:r>
      <w:r>
        <w:rPr>
          <w:rFonts w:ascii="仿宋_GB2312" w:hAnsi="新宋体" w:cs="Times New Roman"/>
          <w:color w:val="000000" w:themeColor="text1"/>
          <w:kern w:val="2"/>
          <w:sz w:val="32"/>
          <w:szCs w:val="32"/>
          <w:highlight w:val="none"/>
        </w:rPr>
        <w:t>7</w:t>
      </w:r>
      <w:r>
        <w:rPr>
          <w:rFonts w:hint="eastAsia" w:ascii="仿宋_GB2312" w:hAnsi="新宋体" w:cs="Times New Roman"/>
          <w:color w:val="000000" w:themeColor="text1"/>
          <w:kern w:val="2"/>
          <w:sz w:val="32"/>
          <w:szCs w:val="32"/>
          <w:highlight w:val="none"/>
        </w:rPr>
        <w:t>万元，占总投资99.9</w:t>
      </w:r>
      <w:r>
        <w:rPr>
          <w:rFonts w:ascii="仿宋_GB2312" w:hAnsi="新宋体" w:cs="Times New Roman"/>
          <w:color w:val="000000" w:themeColor="text1"/>
          <w:kern w:val="2"/>
          <w:sz w:val="32"/>
          <w:szCs w:val="32"/>
          <w:highlight w:val="none"/>
        </w:rPr>
        <w:t>7</w:t>
      </w:r>
      <w:r>
        <w:rPr>
          <w:rFonts w:hint="eastAsia" w:ascii="仿宋_GB2312" w:hAnsi="新宋体" w:cs="Times New Roman"/>
          <w:color w:val="000000" w:themeColor="text1"/>
          <w:kern w:val="2"/>
          <w:sz w:val="32"/>
          <w:szCs w:val="32"/>
          <w:highlight w:val="none"/>
        </w:rPr>
        <w:t>%。</w:t>
      </w:r>
    </w:p>
    <w:p>
      <w:pPr>
        <w:spacing w:line="578" w:lineRule="exact"/>
        <w:ind w:firstLine="640" w:firstLineChars="200"/>
        <w:rPr>
          <w:color w:val="000000" w:themeColor="text1"/>
          <w:szCs w:val="32"/>
          <w:highlight w:val="none"/>
        </w:rPr>
      </w:pPr>
      <w:r>
        <w:rPr>
          <w:rFonts w:hint="eastAsia"/>
          <w:color w:val="000000" w:themeColor="text1"/>
          <w:szCs w:val="32"/>
          <w:highlight w:val="none"/>
        </w:rPr>
        <w:t>（三）项目资金（主要是指财政资金）实际使用情况见表1</w:t>
      </w:r>
    </w:p>
    <w:p>
      <w:pPr>
        <w:spacing w:line="578" w:lineRule="exact"/>
        <w:jc w:val="center"/>
        <w:rPr>
          <w:color w:val="000000" w:themeColor="text1"/>
          <w:szCs w:val="32"/>
          <w:highlight w:val="none"/>
        </w:rPr>
      </w:pPr>
      <w:r>
        <w:rPr>
          <w:rFonts w:hint="eastAsia"/>
          <w:color w:val="000000" w:themeColor="text1"/>
          <w:szCs w:val="32"/>
          <w:highlight w:val="none"/>
        </w:rPr>
        <w:t xml:space="preserve">    </w:t>
      </w:r>
      <w:r>
        <w:rPr>
          <w:rFonts w:hint="eastAsia" w:ascii="宋体" w:hAnsi="宋体" w:eastAsia="宋体" w:cs="Arial"/>
          <w:bCs/>
          <w:color w:val="000000" w:themeColor="text1"/>
          <w:kern w:val="0"/>
          <w:sz w:val="24"/>
          <w:highlight w:val="none"/>
        </w:rPr>
        <w:t xml:space="preserve"> </w:t>
      </w:r>
      <w:r>
        <w:rPr>
          <w:rFonts w:ascii="宋体" w:hAnsi="宋体" w:eastAsia="宋体" w:cs="Arial"/>
          <w:bCs/>
          <w:color w:val="000000" w:themeColor="text1"/>
          <w:kern w:val="0"/>
          <w:sz w:val="24"/>
          <w:highlight w:val="none"/>
        </w:rPr>
        <w:t xml:space="preserve">  </w:t>
      </w:r>
      <w:r>
        <w:rPr>
          <w:rFonts w:hint="eastAsia" w:ascii="宋体" w:hAnsi="宋体" w:eastAsia="宋体" w:cs="Arial"/>
          <w:bCs/>
          <w:color w:val="000000" w:themeColor="text1"/>
          <w:kern w:val="0"/>
          <w:sz w:val="24"/>
          <w:highlight w:val="none"/>
        </w:rPr>
        <w:t>表1</w:t>
      </w:r>
      <w:r>
        <w:rPr>
          <w:rFonts w:ascii="宋体" w:hAnsi="宋体" w:eastAsia="宋体" w:cs="Arial"/>
          <w:bCs/>
          <w:color w:val="000000" w:themeColor="text1"/>
          <w:kern w:val="0"/>
          <w:sz w:val="24"/>
          <w:highlight w:val="none"/>
        </w:rPr>
        <w:t xml:space="preserve"> </w:t>
      </w:r>
      <w:r>
        <w:rPr>
          <w:rFonts w:hint="eastAsia" w:ascii="宋体" w:hAnsi="宋体" w:eastAsia="宋体" w:cs="Arial"/>
          <w:bCs/>
          <w:color w:val="000000" w:themeColor="text1"/>
          <w:kern w:val="0"/>
          <w:sz w:val="24"/>
          <w:highlight w:val="none"/>
        </w:rPr>
        <w:t xml:space="preserve">项目资金实际使用情况表 </w:t>
      </w:r>
      <w:r>
        <w:rPr>
          <w:rFonts w:hint="eastAsia"/>
          <w:color w:val="000000" w:themeColor="text1"/>
          <w:szCs w:val="32"/>
          <w:highlight w:val="none"/>
        </w:rPr>
        <w:t xml:space="preserve">      </w:t>
      </w:r>
      <w:r>
        <w:rPr>
          <w:rFonts w:hint="eastAsia" w:ascii="宋体" w:hAnsi="宋体" w:eastAsia="宋体" w:cs="Arial"/>
          <w:bCs/>
          <w:color w:val="000000" w:themeColor="text1"/>
          <w:kern w:val="0"/>
          <w:sz w:val="24"/>
          <w:highlight w:val="none"/>
        </w:rPr>
        <w:t>单位：元</w:t>
      </w:r>
    </w:p>
    <w:tbl>
      <w:tblPr>
        <w:tblStyle w:val="10"/>
        <w:tblW w:w="7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0"/>
        <w:gridCol w:w="2784"/>
        <w:gridCol w:w="1959"/>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40" w:type="dxa"/>
            <w:vMerge w:val="restart"/>
            <w:vAlign w:val="center"/>
          </w:tcPr>
          <w:p>
            <w:pPr>
              <w:widowControl/>
              <w:jc w:val="center"/>
              <w:rPr>
                <w:color w:val="000000" w:themeColor="text1"/>
                <w:sz w:val="24"/>
                <w:highlight w:val="none"/>
              </w:rPr>
            </w:pPr>
            <w:r>
              <w:rPr>
                <w:rFonts w:hint="eastAsia" w:ascii="宋体" w:hAnsi="宋体" w:eastAsia="宋体" w:cs="Arial"/>
                <w:bCs/>
                <w:color w:val="000000" w:themeColor="text1"/>
                <w:kern w:val="0"/>
                <w:sz w:val="24"/>
                <w:highlight w:val="none"/>
              </w:rPr>
              <w:t>项目</w:t>
            </w:r>
          </w:p>
        </w:tc>
        <w:tc>
          <w:tcPr>
            <w:tcW w:w="2784" w:type="dxa"/>
            <w:vMerge w:val="restart"/>
            <w:vAlign w:val="center"/>
          </w:tcPr>
          <w:p>
            <w:pPr>
              <w:widowControl/>
              <w:jc w:val="center"/>
              <w:rPr>
                <w:color w:val="000000" w:themeColor="text1"/>
                <w:sz w:val="24"/>
                <w:highlight w:val="none"/>
              </w:rPr>
            </w:pPr>
            <w:r>
              <w:rPr>
                <w:rFonts w:hint="eastAsia" w:ascii="宋体" w:hAnsi="宋体" w:eastAsia="宋体" w:cs="Arial"/>
                <w:bCs/>
                <w:color w:val="000000" w:themeColor="text1"/>
                <w:kern w:val="0"/>
                <w:sz w:val="24"/>
                <w:highlight w:val="none"/>
              </w:rPr>
              <w:t>支出经济分类名称</w:t>
            </w:r>
          </w:p>
        </w:tc>
        <w:tc>
          <w:tcPr>
            <w:tcW w:w="1959" w:type="dxa"/>
            <w:vMerge w:val="restart"/>
            <w:vAlign w:val="center"/>
          </w:tcPr>
          <w:p>
            <w:pPr>
              <w:widowControl/>
              <w:jc w:val="center"/>
              <w:rPr>
                <w:color w:val="000000" w:themeColor="text1"/>
                <w:sz w:val="24"/>
                <w:highlight w:val="none"/>
              </w:rPr>
            </w:pPr>
            <w:r>
              <w:rPr>
                <w:rFonts w:hint="eastAsia" w:ascii="宋体" w:hAnsi="宋体" w:eastAsia="宋体" w:cs="Arial"/>
                <w:bCs/>
                <w:color w:val="000000" w:themeColor="text1"/>
                <w:kern w:val="0"/>
                <w:sz w:val="24"/>
                <w:highlight w:val="none"/>
              </w:rPr>
              <w:t>支出金额</w:t>
            </w:r>
          </w:p>
        </w:tc>
        <w:tc>
          <w:tcPr>
            <w:tcW w:w="1359" w:type="dxa"/>
            <w:vMerge w:val="restart"/>
            <w:vAlign w:val="center"/>
          </w:tcPr>
          <w:p>
            <w:pPr>
              <w:widowControl/>
              <w:jc w:val="center"/>
              <w:rPr>
                <w:color w:val="000000" w:themeColor="text1"/>
                <w:sz w:val="24"/>
                <w:highlight w:val="none"/>
              </w:rPr>
            </w:pPr>
            <w:r>
              <w:rPr>
                <w:rFonts w:hint="eastAsia" w:ascii="宋体" w:hAnsi="宋体" w:eastAsia="宋体" w:cs="Arial"/>
                <w:bCs/>
                <w:color w:val="000000" w:themeColor="text1"/>
                <w:kern w:val="0"/>
                <w:sz w:val="24"/>
                <w:highlight w:val="none"/>
              </w:rPr>
              <w:t>支出占比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940" w:type="dxa"/>
            <w:vMerge w:val="continue"/>
            <w:vAlign w:val="center"/>
          </w:tcPr>
          <w:p>
            <w:pPr>
              <w:jc w:val="center"/>
              <w:rPr>
                <w:color w:val="000000" w:themeColor="text1"/>
                <w:sz w:val="18"/>
                <w:highlight w:val="none"/>
              </w:rPr>
            </w:pPr>
          </w:p>
        </w:tc>
        <w:tc>
          <w:tcPr>
            <w:tcW w:w="2784" w:type="dxa"/>
            <w:vMerge w:val="continue"/>
            <w:vAlign w:val="center"/>
          </w:tcPr>
          <w:p>
            <w:pPr>
              <w:jc w:val="center"/>
              <w:rPr>
                <w:color w:val="000000" w:themeColor="text1"/>
                <w:sz w:val="18"/>
                <w:highlight w:val="none"/>
              </w:rPr>
            </w:pPr>
          </w:p>
        </w:tc>
        <w:tc>
          <w:tcPr>
            <w:tcW w:w="1959" w:type="dxa"/>
            <w:vMerge w:val="continue"/>
            <w:vAlign w:val="center"/>
          </w:tcPr>
          <w:p>
            <w:pPr>
              <w:jc w:val="center"/>
              <w:rPr>
                <w:color w:val="000000" w:themeColor="text1"/>
                <w:sz w:val="18"/>
                <w:highlight w:val="none"/>
              </w:rPr>
            </w:pPr>
          </w:p>
        </w:tc>
        <w:tc>
          <w:tcPr>
            <w:tcW w:w="1359" w:type="dxa"/>
            <w:vMerge w:val="continue"/>
            <w:vAlign w:val="center"/>
          </w:tcPr>
          <w:p>
            <w:pPr>
              <w:jc w:val="center"/>
              <w:rPr>
                <w:color w:val="000000" w:themeColor="text1"/>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1</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专用设备购置费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370,859.00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2</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委托业务费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4,170,330.00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3</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办公设备购置费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998,322.00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4</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劳务费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15,150.00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5</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差旅费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16,146.00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6</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维修（护）费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105,000.00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7</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其他交通费用</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11,225.37</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8</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办公费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19,732.00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9</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印刷费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15,687.25</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rPr>
              <w:t>10</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邮电费</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454.32</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r>
              <w:rPr>
                <w:rFonts w:hint="eastAsia" w:hAnsi="仿宋_GB2312" w:cs="仿宋_GB2312"/>
                <w:bCs/>
                <w:color w:val="000000" w:themeColor="text1"/>
                <w:kern w:val="0"/>
                <w:sz w:val="24"/>
                <w:highlight w:val="none"/>
              </w:rPr>
              <w:t>11</w:t>
            </w: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信息网络及软件购置更新</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608,780.00</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940" w:type="dxa"/>
            <w:vAlign w:val="center"/>
          </w:tcPr>
          <w:p>
            <w:pPr>
              <w:widowControl/>
              <w:jc w:val="center"/>
              <w:rPr>
                <w:rFonts w:hAnsi="仿宋_GB2312" w:cs="仿宋_GB2312"/>
                <w:color w:val="000000" w:themeColor="text1"/>
                <w:sz w:val="24"/>
                <w:highlight w:val="none"/>
              </w:rPr>
            </w:pPr>
          </w:p>
        </w:tc>
        <w:tc>
          <w:tcPr>
            <w:tcW w:w="2784"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sz w:val="24"/>
                <w:highlight w:val="none"/>
              </w:rPr>
              <w:t>合  计</w:t>
            </w:r>
          </w:p>
        </w:tc>
        <w:tc>
          <w:tcPr>
            <w:tcW w:w="19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6331685.94</w:t>
            </w:r>
          </w:p>
        </w:tc>
        <w:tc>
          <w:tcPr>
            <w:tcW w:w="1359" w:type="dxa"/>
            <w:vAlign w:val="center"/>
          </w:tcPr>
          <w:p>
            <w:pPr>
              <w:jc w:val="center"/>
              <w:rPr>
                <w:rFonts w:hAnsi="仿宋_GB2312" w:cs="仿宋_GB2312"/>
                <w:color w:val="000000" w:themeColor="text1"/>
                <w:sz w:val="24"/>
                <w:highlight w:val="none"/>
              </w:rPr>
            </w:pPr>
            <w:r>
              <w:rPr>
                <w:rFonts w:hint="eastAsia" w:hAnsi="仿宋_GB2312" w:cs="仿宋_GB2312"/>
                <w:color w:val="000000" w:themeColor="text1"/>
                <w:kern w:val="0"/>
                <w:sz w:val="24"/>
                <w:highlight w:val="none"/>
                <w:lang w:bidi="ar"/>
              </w:rPr>
              <w:t>100.00%</w:t>
            </w:r>
          </w:p>
        </w:tc>
      </w:tr>
    </w:tbl>
    <w:p>
      <w:pPr>
        <w:spacing w:line="578" w:lineRule="exact"/>
        <w:ind w:firstLine="640" w:firstLineChars="200"/>
        <w:rPr>
          <w:color w:val="000000" w:themeColor="text1"/>
          <w:szCs w:val="32"/>
          <w:highlight w:val="none"/>
        </w:rPr>
      </w:pPr>
      <w:r>
        <w:rPr>
          <w:rFonts w:hint="eastAsia"/>
          <w:color w:val="000000" w:themeColor="text1"/>
          <w:szCs w:val="32"/>
          <w:highlight w:val="none"/>
        </w:rPr>
        <w:t>（三）项目</w:t>
      </w:r>
      <w:r>
        <w:rPr>
          <w:color w:val="000000" w:themeColor="text1"/>
          <w:szCs w:val="32"/>
          <w:highlight w:val="none"/>
        </w:rPr>
        <w:t>资金</w:t>
      </w:r>
      <w:r>
        <w:rPr>
          <w:rFonts w:hint="eastAsia"/>
          <w:color w:val="000000" w:themeColor="text1"/>
          <w:szCs w:val="32"/>
          <w:highlight w:val="none"/>
        </w:rPr>
        <w:t>管理</w:t>
      </w:r>
      <w:r>
        <w:rPr>
          <w:color w:val="000000" w:themeColor="text1"/>
          <w:szCs w:val="32"/>
          <w:highlight w:val="none"/>
        </w:rPr>
        <w:t>情况</w:t>
      </w:r>
      <w:r>
        <w:rPr>
          <w:rFonts w:hint="eastAsia"/>
          <w:color w:val="000000" w:themeColor="text1"/>
          <w:szCs w:val="32"/>
          <w:highlight w:val="none"/>
        </w:rPr>
        <w:t>分析</w:t>
      </w:r>
    </w:p>
    <w:p>
      <w:pPr>
        <w:spacing w:line="578" w:lineRule="exact"/>
        <w:ind w:firstLine="640" w:firstLineChars="200"/>
        <w:rPr>
          <w:color w:val="000000" w:themeColor="text1"/>
          <w:szCs w:val="32"/>
          <w:highlight w:val="none"/>
        </w:rPr>
      </w:pPr>
      <w:r>
        <w:rPr>
          <w:rFonts w:hint="eastAsia"/>
          <w:color w:val="000000" w:themeColor="text1"/>
          <w:szCs w:val="32"/>
          <w:highlight w:val="none"/>
        </w:rPr>
        <w:t>1. 地震灾害风险防治</w:t>
      </w:r>
      <w:r>
        <w:rPr>
          <w:color w:val="000000" w:themeColor="text1"/>
          <w:szCs w:val="32"/>
          <w:highlight w:val="none"/>
        </w:rPr>
        <w:t>项目资金</w:t>
      </w:r>
      <w:r>
        <w:rPr>
          <w:rFonts w:hint="eastAsia"/>
          <w:color w:val="000000" w:themeColor="text1"/>
          <w:szCs w:val="32"/>
          <w:highlight w:val="none"/>
        </w:rPr>
        <w:t>的</w:t>
      </w:r>
      <w:r>
        <w:rPr>
          <w:color w:val="000000" w:themeColor="text1"/>
          <w:szCs w:val="32"/>
          <w:highlight w:val="none"/>
        </w:rPr>
        <w:t>执行管理由财</w:t>
      </w:r>
      <w:r>
        <w:rPr>
          <w:rFonts w:hint="eastAsia"/>
          <w:color w:val="000000" w:themeColor="text1"/>
          <w:szCs w:val="32"/>
          <w:highlight w:val="none"/>
          <w:lang w:eastAsia="zh-CN"/>
        </w:rPr>
        <w:t>资</w:t>
      </w:r>
      <w:r>
        <w:rPr>
          <w:color w:val="000000" w:themeColor="text1"/>
          <w:szCs w:val="32"/>
          <w:highlight w:val="none"/>
        </w:rPr>
        <w:t>室专人负责，</w:t>
      </w:r>
      <w:r>
        <w:rPr>
          <w:rFonts w:hint="eastAsia"/>
          <w:color w:val="000000" w:themeColor="text1"/>
          <w:szCs w:val="32"/>
          <w:highlight w:val="none"/>
        </w:rPr>
        <w:t>财</w:t>
      </w:r>
      <w:r>
        <w:rPr>
          <w:rFonts w:hint="eastAsia"/>
          <w:color w:val="000000" w:themeColor="text1"/>
          <w:szCs w:val="32"/>
          <w:highlight w:val="none"/>
          <w:lang w:eastAsia="zh-CN"/>
        </w:rPr>
        <w:t>资</w:t>
      </w:r>
      <w:r>
        <w:rPr>
          <w:rFonts w:hint="eastAsia"/>
          <w:color w:val="000000" w:themeColor="text1"/>
          <w:szCs w:val="32"/>
          <w:highlight w:val="none"/>
        </w:rPr>
        <w:t>室</w:t>
      </w:r>
      <w:r>
        <w:rPr>
          <w:color w:val="000000" w:themeColor="text1"/>
          <w:szCs w:val="32"/>
          <w:highlight w:val="none"/>
        </w:rPr>
        <w:t>人员配备及岗位职责</w:t>
      </w:r>
      <w:r>
        <w:rPr>
          <w:rFonts w:hint="eastAsia"/>
          <w:color w:val="000000" w:themeColor="text1"/>
          <w:szCs w:val="32"/>
          <w:highlight w:val="none"/>
        </w:rPr>
        <w:t>根据</w:t>
      </w:r>
      <w:r>
        <w:rPr>
          <w:color w:val="000000" w:themeColor="text1"/>
          <w:szCs w:val="32"/>
          <w:highlight w:val="none"/>
        </w:rPr>
        <w:t>《海南省地震局内部财务岗位责任制》</w:t>
      </w:r>
      <w:r>
        <w:rPr>
          <w:rFonts w:hint="eastAsia"/>
          <w:color w:val="000000" w:themeColor="text1"/>
          <w:szCs w:val="32"/>
          <w:highlight w:val="none"/>
          <w:lang w:eastAsia="zh-CN"/>
        </w:rPr>
        <w:t>要求</w:t>
      </w:r>
      <w:r>
        <w:rPr>
          <w:rFonts w:hint="eastAsia"/>
          <w:color w:val="000000" w:themeColor="text1"/>
          <w:szCs w:val="32"/>
          <w:highlight w:val="none"/>
        </w:rPr>
        <w:t>严格</w:t>
      </w:r>
      <w:r>
        <w:rPr>
          <w:color w:val="000000" w:themeColor="text1"/>
          <w:szCs w:val="32"/>
          <w:highlight w:val="none"/>
        </w:rPr>
        <w:t>执行</w:t>
      </w:r>
      <w:r>
        <w:rPr>
          <w:rFonts w:hint="eastAsia"/>
          <w:color w:val="000000" w:themeColor="text1"/>
          <w:szCs w:val="32"/>
          <w:highlight w:val="none"/>
        </w:rPr>
        <w:t>，切实做到分事行权、分岗设权、分级授权，岗位职责明确</w:t>
      </w:r>
      <w:r>
        <w:rPr>
          <w:rFonts w:hint="eastAsia" w:hAnsi="仿宋_GB2312" w:cs="仿宋_GB2312"/>
          <w:color w:val="000000" w:themeColor="text1"/>
          <w:sz w:val="30"/>
          <w:szCs w:val="30"/>
          <w:highlight w:val="none"/>
        </w:rPr>
        <w:t>。</w:t>
      </w:r>
    </w:p>
    <w:p>
      <w:pPr>
        <w:numPr>
          <w:ilvl w:val="0"/>
          <w:numId w:val="0"/>
        </w:numPr>
        <w:spacing w:line="578" w:lineRule="exact"/>
        <w:ind w:firstLine="640" w:firstLineChars="200"/>
        <w:rPr>
          <w:color w:val="000000" w:themeColor="text1"/>
          <w:szCs w:val="32"/>
          <w:highlight w:val="none"/>
        </w:rPr>
      </w:pPr>
      <w:r>
        <w:rPr>
          <w:rFonts w:hint="eastAsia"/>
          <w:color w:val="000000" w:themeColor="text1"/>
          <w:szCs w:val="32"/>
          <w:highlight w:val="none"/>
        </w:rPr>
        <w:t>2.地震灾害风险防治项目资金的</w:t>
      </w:r>
      <w:r>
        <w:rPr>
          <w:color w:val="000000" w:themeColor="text1"/>
          <w:szCs w:val="32"/>
          <w:highlight w:val="none"/>
        </w:rPr>
        <w:t>支出管理</w:t>
      </w:r>
      <w:r>
        <w:rPr>
          <w:rFonts w:hint="eastAsia"/>
          <w:color w:val="000000" w:themeColor="text1"/>
          <w:szCs w:val="32"/>
          <w:highlight w:val="none"/>
        </w:rPr>
        <w:t>严格</w:t>
      </w:r>
      <w:r>
        <w:rPr>
          <w:color w:val="000000" w:themeColor="text1"/>
          <w:szCs w:val="32"/>
          <w:highlight w:val="none"/>
        </w:rPr>
        <w:t>按照</w:t>
      </w:r>
      <w:r>
        <w:rPr>
          <w:rFonts w:hint="eastAsia"/>
          <w:color w:val="000000" w:themeColor="text1"/>
          <w:szCs w:val="32"/>
          <w:highlight w:val="none"/>
          <w:lang w:eastAsia="zh-CN"/>
        </w:rPr>
        <w:t>中国地震局、省财政厅和海南省地震局在预算管理和财务报账等方面的</w:t>
      </w:r>
      <w:r>
        <w:rPr>
          <w:color w:val="000000" w:themeColor="text1"/>
          <w:szCs w:val="32"/>
          <w:highlight w:val="none"/>
        </w:rPr>
        <w:t>规章制度</w:t>
      </w:r>
      <w:r>
        <w:rPr>
          <w:rFonts w:hint="eastAsia"/>
          <w:color w:val="000000" w:themeColor="text1"/>
          <w:szCs w:val="32"/>
          <w:highlight w:val="none"/>
        </w:rPr>
        <w:t>执行</w:t>
      </w:r>
      <w:r>
        <w:rPr>
          <w:color w:val="000000" w:themeColor="text1"/>
          <w:szCs w:val="32"/>
          <w:highlight w:val="none"/>
        </w:rPr>
        <w:t>。</w:t>
      </w:r>
      <w:r>
        <w:rPr>
          <w:rFonts w:hint="eastAsia"/>
          <w:color w:val="000000" w:themeColor="text1"/>
          <w:szCs w:val="32"/>
          <w:highlight w:val="none"/>
        </w:rPr>
        <w:t>我局</w:t>
      </w:r>
      <w:r>
        <w:rPr>
          <w:color w:val="000000" w:themeColor="text1"/>
          <w:szCs w:val="32"/>
          <w:highlight w:val="none"/>
        </w:rPr>
        <w:t>制订</w:t>
      </w:r>
      <w:r>
        <w:rPr>
          <w:rFonts w:hint="eastAsia"/>
          <w:color w:val="000000" w:themeColor="text1"/>
          <w:szCs w:val="32"/>
          <w:highlight w:val="none"/>
        </w:rPr>
        <w:t>了</w:t>
      </w:r>
      <w:r>
        <w:rPr>
          <w:color w:val="000000" w:themeColor="text1"/>
          <w:szCs w:val="32"/>
          <w:highlight w:val="none"/>
        </w:rPr>
        <w:t>《海南省地震局经费支出管理办法》</w:t>
      </w:r>
      <w:r>
        <w:rPr>
          <w:rFonts w:hint="eastAsia"/>
          <w:color w:val="000000" w:themeColor="text1"/>
          <w:szCs w:val="32"/>
          <w:highlight w:val="none"/>
        </w:rPr>
        <w:t>；</w:t>
      </w:r>
      <w:r>
        <w:rPr>
          <w:color w:val="000000" w:themeColor="text1"/>
          <w:szCs w:val="32"/>
          <w:highlight w:val="none"/>
        </w:rPr>
        <w:t>为进一步加强财务管理，强化财务内控机制，</w:t>
      </w:r>
      <w:r>
        <w:rPr>
          <w:rFonts w:hint="eastAsia" w:ascii="仿宋_GB2312" w:hAnsi="仿宋_GB2312" w:eastAsia="仿宋_GB2312" w:cs="仿宋_GB2312"/>
          <w:sz w:val="32"/>
          <w:szCs w:val="32"/>
          <w:highlight w:val="none"/>
        </w:rPr>
        <w:t>根据有关财务规定，结合工作实际，</w:t>
      </w:r>
      <w:r>
        <w:rPr>
          <w:rFonts w:hint="eastAsia"/>
          <w:color w:val="000000" w:themeColor="text1"/>
          <w:szCs w:val="32"/>
          <w:highlight w:val="none"/>
          <w:lang w:eastAsia="zh-CN"/>
        </w:rPr>
        <w:t>我局</w:t>
      </w:r>
      <w:r>
        <w:rPr>
          <w:color w:val="000000" w:themeColor="text1"/>
          <w:szCs w:val="32"/>
          <w:highlight w:val="none"/>
        </w:rPr>
        <w:t>修订完善了一些财务规章制度</w:t>
      </w:r>
      <w:r>
        <w:rPr>
          <w:rFonts w:hint="eastAsia"/>
          <w:color w:val="000000" w:themeColor="text1"/>
          <w:szCs w:val="32"/>
          <w:highlight w:val="none"/>
        </w:rPr>
        <w:t>，</w:t>
      </w:r>
      <w:r>
        <w:rPr>
          <w:color w:val="000000" w:themeColor="text1"/>
          <w:szCs w:val="32"/>
          <w:highlight w:val="none"/>
        </w:rPr>
        <w:t>例如</w:t>
      </w:r>
      <w:r>
        <w:rPr>
          <w:rFonts w:hint="eastAsia" w:ascii="仿宋_GB2312" w:hAnsi="仿宋_GB2312" w:eastAsia="仿宋_GB2312" w:cs="仿宋_GB2312"/>
          <w:sz w:val="32"/>
          <w:szCs w:val="32"/>
          <w:highlight w:val="none"/>
        </w:rPr>
        <w:t>《关于规范快递费报销等事项的通知》</w:t>
      </w:r>
      <w:r>
        <w:rPr>
          <w:color w:val="000000" w:themeColor="text1"/>
          <w:szCs w:val="32"/>
          <w:highlight w:val="none"/>
        </w:rPr>
        <w:t>规范了本局快递费、出租车票报销事宜，要求更加严格；</w:t>
      </w:r>
      <w:r>
        <w:rPr>
          <w:rFonts w:hint="eastAsia" w:ascii="仿宋_GB2312" w:hAnsi="仿宋_GB2312" w:eastAsia="仿宋_GB2312" w:cs="仿宋_GB2312"/>
          <w:sz w:val="32"/>
          <w:szCs w:val="32"/>
          <w:highlight w:val="none"/>
        </w:rPr>
        <w:t>印发了《海南省地震局经济合同管理办法》《海南省地震局公务车辆管理规定（试行）》</w:t>
      </w:r>
      <w:r>
        <w:rPr>
          <w:rFonts w:hint="eastAsia" w:ascii="仿宋_GB2312" w:hAnsi="宋体" w:cs="Times New Roman"/>
          <w:highlight w:val="none"/>
        </w:rPr>
        <w:t>《海南省地震局政府采购规程（试行）》</w:t>
      </w:r>
      <w:r>
        <w:rPr>
          <w:rFonts w:hint="eastAsia" w:ascii="仿宋_GB2312" w:hAnsi="仿宋_GB2312" w:eastAsia="仿宋_GB2312" w:cs="仿宋_GB2312"/>
          <w:sz w:val="32"/>
          <w:szCs w:val="32"/>
          <w:highlight w:val="none"/>
        </w:rPr>
        <w:t>等文件，修订了《海南省地震局公务用车定点租赁管理办法（试行）》</w:t>
      </w:r>
      <w:r>
        <w:rPr>
          <w:rFonts w:hint="eastAsia" w:ascii="仿宋_GB2312" w:hAnsi="Calibri" w:eastAsia="仿宋_GB2312" w:cs="Times New Roman"/>
          <w:sz w:val="32"/>
          <w:szCs w:val="32"/>
          <w:highlight w:val="none"/>
        </w:rPr>
        <w:t>《海南省地震局差旅费</w:t>
      </w:r>
      <w:r>
        <w:rPr>
          <w:rFonts w:hint="eastAsia" w:ascii="仿宋_GB2312" w:hAnsi="Calibri" w:eastAsia="仿宋_GB2312" w:cs="Times New Roman"/>
          <w:sz w:val="32"/>
          <w:szCs w:val="32"/>
          <w:highlight w:val="none"/>
          <w:lang w:eastAsia="zh-CN"/>
        </w:rPr>
        <w:t>管理</w:t>
      </w:r>
      <w:r>
        <w:rPr>
          <w:rFonts w:hint="eastAsia" w:ascii="仿宋_GB2312" w:hAnsi="Calibri" w:eastAsia="仿宋_GB2312" w:cs="Times New Roman"/>
          <w:sz w:val="32"/>
          <w:szCs w:val="32"/>
          <w:highlight w:val="none"/>
        </w:rPr>
        <w:t>细则》《海南省地震局经费支出管理细则</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sz w:val="32"/>
          <w:szCs w:val="32"/>
          <w:highlight w:val="none"/>
          <w:lang w:val="en-US" w:eastAsia="zh-CN"/>
        </w:rPr>
        <w:t>试行</w:t>
      </w:r>
      <w:r>
        <w:rPr>
          <w:rFonts w:hint="eastAsia" w:ascii="仿宋_GB2312" w:hAnsi="Calibri" w:eastAsia="仿宋_GB2312" w:cs="Times New Roman"/>
          <w:sz w:val="32"/>
          <w:szCs w:val="32"/>
          <w:highlight w:val="none"/>
          <w:lang w:eastAsia="zh-CN"/>
        </w:rPr>
        <w:t>）</w:t>
      </w:r>
      <w:r>
        <w:rPr>
          <w:rFonts w:hint="eastAsia" w:ascii="仿宋_GB2312" w:hAnsi="Calibri" w:eastAsia="仿宋_GB2312" w:cs="Times New Roman"/>
          <w:sz w:val="32"/>
          <w:szCs w:val="32"/>
          <w:highlight w:val="none"/>
        </w:rPr>
        <w:t>》</w:t>
      </w:r>
      <w:r>
        <w:rPr>
          <w:rFonts w:hint="eastAsia" w:ascii="仿宋_GB2312" w:hAnsi="仿宋_GB2312" w:eastAsia="仿宋_GB2312" w:cs="仿宋_GB2312"/>
          <w:sz w:val="32"/>
          <w:szCs w:val="32"/>
          <w:highlight w:val="none"/>
        </w:rPr>
        <w:t>等制度</w:t>
      </w:r>
      <w:r>
        <w:rPr>
          <w:rFonts w:hint="eastAsia" w:hAnsi="仿宋_GB2312" w:cs="仿宋_GB2312"/>
          <w:sz w:val="32"/>
          <w:szCs w:val="32"/>
          <w:highlight w:val="none"/>
          <w:lang w:eastAsia="zh-CN"/>
        </w:rPr>
        <w:t>。</w:t>
      </w:r>
      <w:r>
        <w:rPr>
          <w:rFonts w:hint="eastAsia"/>
          <w:color w:val="000000" w:themeColor="text1"/>
          <w:szCs w:val="32"/>
          <w:highlight w:val="none"/>
        </w:rPr>
        <w:t>地震灾害风险防治</w:t>
      </w:r>
      <w:r>
        <w:rPr>
          <w:color w:val="000000" w:themeColor="text1"/>
          <w:szCs w:val="32"/>
          <w:highlight w:val="none"/>
        </w:rPr>
        <w:t>项目</w:t>
      </w:r>
      <w:r>
        <w:rPr>
          <w:rFonts w:hint="eastAsia"/>
          <w:color w:val="000000" w:themeColor="text1"/>
          <w:szCs w:val="32"/>
          <w:highlight w:val="none"/>
        </w:rPr>
        <w:t>资金的</w:t>
      </w:r>
      <w:r>
        <w:rPr>
          <w:color w:val="000000" w:themeColor="text1"/>
          <w:szCs w:val="32"/>
          <w:highlight w:val="none"/>
        </w:rPr>
        <w:t>支出严格执行以上</w:t>
      </w:r>
      <w:r>
        <w:rPr>
          <w:rFonts w:hint="eastAsia"/>
          <w:color w:val="000000" w:themeColor="text1"/>
          <w:szCs w:val="32"/>
          <w:highlight w:val="none"/>
        </w:rPr>
        <w:t>最新</w:t>
      </w:r>
      <w:r>
        <w:rPr>
          <w:color w:val="000000" w:themeColor="text1"/>
          <w:szCs w:val="32"/>
          <w:highlight w:val="none"/>
        </w:rPr>
        <w:t>文件政策。</w:t>
      </w:r>
    </w:p>
    <w:p>
      <w:pPr>
        <w:spacing w:line="578" w:lineRule="exact"/>
        <w:ind w:firstLine="640" w:firstLineChars="200"/>
        <w:rPr>
          <w:rFonts w:ascii="黑体" w:hAnsi="黑体" w:eastAsia="黑体" w:cs="黑体"/>
          <w:color w:val="000000" w:themeColor="text1"/>
        </w:rPr>
      </w:pPr>
      <w:r>
        <w:rPr>
          <w:rFonts w:hint="eastAsia" w:ascii="黑体" w:hAnsi="黑体" w:eastAsia="黑体" w:cs="黑体"/>
          <w:color w:val="000000" w:themeColor="text1"/>
        </w:rPr>
        <w:t>三、项目组织实施情况</w:t>
      </w:r>
    </w:p>
    <w:p>
      <w:pPr>
        <w:spacing w:line="578" w:lineRule="exact"/>
        <w:ind w:firstLine="640" w:firstLineChars="200"/>
        <w:outlineLvl w:val="0"/>
        <w:rPr>
          <w:bCs/>
          <w:color w:val="000000" w:themeColor="text1"/>
          <w:szCs w:val="32"/>
        </w:rPr>
      </w:pPr>
      <w:r>
        <w:rPr>
          <w:rFonts w:hint="eastAsia"/>
          <w:bCs/>
          <w:color w:val="000000" w:themeColor="text1"/>
          <w:szCs w:val="32"/>
        </w:rPr>
        <w:t>（一）项目组织情况</w:t>
      </w:r>
    </w:p>
    <w:p>
      <w:pPr>
        <w:spacing w:line="570" w:lineRule="exact"/>
        <w:ind w:firstLine="636"/>
        <w:rPr>
          <w:color w:val="000000" w:themeColor="text1"/>
        </w:rPr>
      </w:pPr>
      <w:r>
        <w:rPr>
          <w:rFonts w:hint="eastAsia"/>
          <w:color w:val="000000" w:themeColor="text1"/>
        </w:rPr>
        <w:t>海南省地震局党组高度重视地震灾害风险防治项目工作，专门</w:t>
      </w:r>
      <w:r>
        <w:rPr>
          <w:rFonts w:hint="eastAsia" w:hAnsi="宋体" w:cs="仿宋_GB2312"/>
          <w:color w:val="000000" w:themeColor="text1"/>
          <w:szCs w:val="32"/>
          <w:shd w:val="clear" w:color="auto" w:fill="FFFFFF"/>
        </w:rPr>
        <w:t>成立了地震灾害风险防治工程领导小组、项目管理办公室和项目实施组（</w:t>
      </w:r>
      <w:r>
        <w:rPr>
          <w:rFonts w:hint="eastAsia"/>
          <w:color w:val="000000" w:themeColor="text1"/>
        </w:rPr>
        <w:t>琼震发〔2022〕27号</w:t>
      </w:r>
      <w:r>
        <w:rPr>
          <w:rFonts w:hint="eastAsia" w:hAnsi="宋体" w:cs="仿宋_GB2312"/>
          <w:color w:val="000000" w:themeColor="text1"/>
          <w:szCs w:val="32"/>
          <w:shd w:val="clear" w:color="auto" w:fill="FFFFFF"/>
        </w:rPr>
        <w:t>）。领导小组</w:t>
      </w:r>
      <w:r>
        <w:rPr>
          <w:rFonts w:hint="eastAsia"/>
          <w:color w:val="000000" w:themeColor="text1"/>
        </w:rPr>
        <w:t>由局党组成员、副局长汤筱麒同志任组长，亲自抓地震灾害风险防治项目工作方案审定及协调指导工作；项目管理办公室负责落实项目领导小组的指示和要求，研究项目建设过程中存在的问题以及部署阶段性工作等；项目实施组由海南省震灾风险防治中心牵头组建项目实施团队，制定</w:t>
      </w:r>
      <w:r>
        <w:rPr>
          <w:color w:val="000000" w:themeColor="text1"/>
        </w:rPr>
        <w:t>工作任务分解表、明确和细化项目目标、落实责任，</w:t>
      </w:r>
      <w:r>
        <w:rPr>
          <w:rFonts w:hint="eastAsia"/>
          <w:color w:val="000000" w:themeColor="text1"/>
        </w:rPr>
        <w:t>以保障项目顺利完成。</w:t>
      </w:r>
    </w:p>
    <w:p>
      <w:pPr>
        <w:ind w:firstLine="640" w:firstLineChars="200"/>
        <w:rPr>
          <w:color w:val="000000" w:themeColor="text1"/>
          <w:highlight w:val="none"/>
        </w:rPr>
      </w:pPr>
      <w:r>
        <w:rPr>
          <w:rFonts w:hint="eastAsia"/>
          <w:color w:val="000000" w:themeColor="text1"/>
        </w:rPr>
        <w:t>规划与财务处和震害防御处严格按照《海南省地震局财务管理办法》（琼震发〔2020〕58号）和《海南省地震局招标与政府采购规程》（琼震发</w:t>
      </w:r>
      <w:r>
        <w:rPr>
          <w:rFonts w:hint="eastAsia"/>
          <w:color w:val="000000" w:themeColor="text1"/>
          <w:highlight w:val="none"/>
        </w:rPr>
        <w:t>〔202</w:t>
      </w:r>
      <w:r>
        <w:rPr>
          <w:rFonts w:hint="eastAsia"/>
          <w:color w:val="000000" w:themeColor="text1"/>
          <w:highlight w:val="none"/>
          <w:lang w:val="en-US" w:eastAsia="zh-CN"/>
        </w:rPr>
        <w:t>1</w:t>
      </w:r>
      <w:r>
        <w:rPr>
          <w:rFonts w:hint="eastAsia"/>
          <w:color w:val="000000" w:themeColor="text1"/>
          <w:highlight w:val="none"/>
        </w:rPr>
        <w:t>〕</w:t>
      </w:r>
      <w:r>
        <w:rPr>
          <w:rFonts w:hint="eastAsia"/>
          <w:color w:val="000000" w:themeColor="text1"/>
          <w:highlight w:val="none"/>
          <w:lang w:val="en-US" w:eastAsia="zh-CN"/>
        </w:rPr>
        <w:t>23</w:t>
      </w:r>
      <w:r>
        <w:rPr>
          <w:rFonts w:hint="eastAsia"/>
          <w:color w:val="000000" w:themeColor="text1"/>
          <w:highlight w:val="none"/>
        </w:rPr>
        <w:t>号</w:t>
      </w:r>
      <w:r>
        <w:rPr>
          <w:rFonts w:hint="eastAsia"/>
          <w:color w:val="000000" w:themeColor="text1"/>
        </w:rPr>
        <w:t>），完成地震灾害风险评估、地震灾害风险区划、地震灾害风险防治成果展示系统、地震易损性分析、地震灾害损失易评估以及海南省陆域潜在震源区排查等分项的招标工作，</w:t>
      </w:r>
      <w:r>
        <w:rPr>
          <w:rFonts w:hint="eastAsia"/>
          <w:color w:val="000000" w:themeColor="text1"/>
          <w:highlight w:val="none"/>
        </w:rPr>
        <w:t>并由震害</w:t>
      </w:r>
      <w:r>
        <w:rPr>
          <w:rFonts w:hint="eastAsia"/>
          <w:color w:val="000000" w:themeColor="text1"/>
          <w:highlight w:val="none"/>
          <w:lang w:eastAsia="zh-CN"/>
        </w:rPr>
        <w:t>防御处</w:t>
      </w:r>
      <w:r>
        <w:rPr>
          <w:rFonts w:hint="eastAsia"/>
          <w:color w:val="000000" w:themeColor="text1"/>
          <w:highlight w:val="none"/>
        </w:rPr>
        <w:t>组织完成相关分项项目评审验收工作。</w:t>
      </w:r>
    </w:p>
    <w:p>
      <w:pPr>
        <w:rPr>
          <w:bCs/>
          <w:color w:val="000000" w:themeColor="text1"/>
          <w:szCs w:val="32"/>
        </w:rPr>
      </w:pPr>
      <w:r>
        <w:rPr>
          <w:rFonts w:hint="eastAsia"/>
          <w:color w:val="000000" w:themeColor="text1"/>
        </w:rPr>
        <w:t xml:space="preserve"> </w:t>
      </w:r>
      <w:r>
        <w:rPr>
          <w:color w:val="000000" w:themeColor="text1"/>
        </w:rPr>
        <w:t xml:space="preserve">  </w:t>
      </w:r>
      <w:r>
        <w:rPr>
          <w:rFonts w:hint="eastAsia"/>
          <w:bCs/>
          <w:color w:val="000000" w:themeColor="text1"/>
          <w:szCs w:val="32"/>
        </w:rPr>
        <w:t>（二）项目管理情况</w:t>
      </w:r>
    </w:p>
    <w:p>
      <w:pPr>
        <w:spacing w:line="570" w:lineRule="exact"/>
        <w:ind w:firstLine="636"/>
        <w:rPr>
          <w:rFonts w:hint="eastAsia"/>
          <w:color w:val="000000" w:themeColor="text1"/>
        </w:rPr>
      </w:pPr>
      <w:r>
        <w:rPr>
          <w:rFonts w:hint="eastAsia"/>
          <w:color w:val="000000" w:themeColor="text1"/>
        </w:rPr>
        <w:t>项目实施组编制完成《地震灾害风险防治项目总体工作方案》和《地震灾害风险防治项目2</w:t>
      </w:r>
      <w:r>
        <w:rPr>
          <w:color w:val="000000" w:themeColor="text1"/>
        </w:rPr>
        <w:t>022</w:t>
      </w:r>
      <w:r>
        <w:rPr>
          <w:rFonts w:hint="eastAsia"/>
          <w:color w:val="000000" w:themeColor="text1"/>
        </w:rPr>
        <w:t>年度工作实施方案》并通过项目管理小组和局党组审定。按照本年度工作实施方案，组织和实施项目工作，对项目合同书和技术报告等进行及时归档。并在规划与财务处和财资中心单位业务管理处的组织下，编制完成了该项目支出绩效目标申报表和项目绩效自评报告。</w:t>
      </w:r>
    </w:p>
    <w:p>
      <w:pPr>
        <w:spacing w:line="570" w:lineRule="exact"/>
        <w:ind w:firstLine="636"/>
        <w:rPr>
          <w:color w:val="000000" w:themeColor="text1"/>
        </w:rPr>
      </w:pPr>
      <w:r>
        <w:rPr>
          <w:rFonts w:hint="eastAsia"/>
          <w:color w:val="000000" w:themeColor="text1"/>
        </w:rPr>
        <w:t>项目管理办公室、震害防御处、规划与财务处、纪检室等</w:t>
      </w:r>
      <w:r>
        <w:rPr>
          <w:rFonts w:hint="eastAsia"/>
          <w:color w:val="000000" w:themeColor="text1"/>
          <w:highlight w:val="none"/>
        </w:rPr>
        <w:t>相关管理部门严格按照《海南省地震局科研项目管理办法》和</w:t>
      </w:r>
      <w:r>
        <w:rPr>
          <w:rStyle w:val="206"/>
          <w:rFonts w:hint="eastAsia" w:ascii="仿宋_GB2312" w:hAnsi="仿宋_GB2312" w:eastAsia="仿宋_GB2312" w:cs="仿宋_GB2312"/>
          <w:b w:val="0"/>
          <w:bCs w:val="0"/>
          <w:i w:val="0"/>
          <w:caps w:val="0"/>
          <w:spacing w:val="0"/>
          <w:w w:val="100"/>
          <w:kern w:val="0"/>
          <w:sz w:val="32"/>
          <w:szCs w:val="32"/>
          <w:highlight w:val="none"/>
          <w:lang w:val="en-US" w:eastAsia="zh-CN" w:bidi="ar-SA"/>
        </w:rPr>
        <w:t>《海南省地震局经济合同管理办法》</w:t>
      </w:r>
      <w:r>
        <w:rPr>
          <w:rFonts w:hint="eastAsia"/>
          <w:color w:val="000000" w:themeColor="text1"/>
        </w:rPr>
        <w:t>，对项目进行管理及监督检查。</w:t>
      </w:r>
    </w:p>
    <w:p>
      <w:pPr>
        <w:spacing w:line="578" w:lineRule="exact"/>
        <w:ind w:firstLine="640" w:firstLineChars="200"/>
        <w:outlineLvl w:val="0"/>
        <w:rPr>
          <w:rFonts w:ascii="黑体" w:hAnsi="黑体" w:eastAsia="黑体" w:cs="黑体"/>
          <w:color w:val="000000" w:themeColor="text1"/>
        </w:rPr>
      </w:pPr>
      <w:r>
        <w:rPr>
          <w:rFonts w:hint="eastAsia" w:ascii="黑体" w:hAnsi="黑体" w:eastAsia="黑体" w:cs="黑体"/>
          <w:color w:val="000000" w:themeColor="text1"/>
        </w:rPr>
        <w:t>四、项目绩效情况</w:t>
      </w:r>
    </w:p>
    <w:p>
      <w:pPr>
        <w:spacing w:line="578" w:lineRule="exact"/>
        <w:ind w:firstLine="640" w:firstLineChars="200"/>
        <w:outlineLvl w:val="0"/>
        <w:rPr>
          <w:bCs/>
          <w:color w:val="000000" w:themeColor="text1"/>
        </w:rPr>
      </w:pPr>
      <w:r>
        <w:rPr>
          <w:rFonts w:hint="eastAsia"/>
          <w:bCs/>
          <w:color w:val="000000" w:themeColor="text1"/>
        </w:rPr>
        <w:t>（一）项目绩效目标完成情况及分析</w:t>
      </w:r>
    </w:p>
    <w:p>
      <w:pPr>
        <w:spacing w:line="578" w:lineRule="exact"/>
        <w:ind w:firstLine="640" w:firstLineChars="200"/>
        <w:rPr>
          <w:rFonts w:hint="eastAsia"/>
          <w:bCs/>
          <w:color w:val="000000" w:themeColor="text1"/>
          <w:szCs w:val="32"/>
        </w:rPr>
      </w:pPr>
      <w:r>
        <w:rPr>
          <w:rFonts w:hint="eastAsia"/>
          <w:bCs/>
          <w:color w:val="000000" w:themeColor="text1"/>
          <w:szCs w:val="32"/>
        </w:rPr>
        <w:t>1. 项目完成预期绩效目标，其中地震灾害风险区划图实际完成量比设定绩效目标多</w:t>
      </w:r>
      <w:r>
        <w:rPr>
          <w:bCs/>
          <w:color w:val="000000" w:themeColor="text1"/>
          <w:szCs w:val="32"/>
        </w:rPr>
        <w:t>2</w:t>
      </w:r>
      <w:r>
        <w:rPr>
          <w:rFonts w:hint="eastAsia"/>
          <w:bCs/>
          <w:color w:val="000000" w:themeColor="text1"/>
          <w:szCs w:val="32"/>
        </w:rPr>
        <w:t>幅（表2）。</w:t>
      </w:r>
    </w:p>
    <w:p>
      <w:pPr>
        <w:spacing w:before="156" w:beforeLines="50"/>
        <w:ind w:firstLine="1680" w:firstLineChars="700"/>
        <w:rPr>
          <w:rFonts w:hint="eastAsia" w:ascii="宋体" w:hAnsi="宋体" w:eastAsia="宋体"/>
          <w:color w:val="000000" w:themeColor="text1"/>
          <w:sz w:val="24"/>
        </w:rPr>
      </w:pPr>
      <w:r>
        <w:rPr>
          <w:rFonts w:hint="eastAsia" w:ascii="宋体" w:hAnsi="宋体" w:eastAsia="宋体"/>
          <w:color w:val="000000" w:themeColor="text1"/>
          <w:sz w:val="24"/>
        </w:rPr>
        <w:t>表</w:t>
      </w:r>
      <w:r>
        <w:rPr>
          <w:rFonts w:ascii="宋体" w:hAnsi="宋体" w:eastAsia="宋体"/>
          <w:color w:val="000000" w:themeColor="text1"/>
          <w:sz w:val="24"/>
        </w:rPr>
        <w:t xml:space="preserve">2 </w:t>
      </w:r>
      <w:r>
        <w:rPr>
          <w:rFonts w:hint="eastAsia" w:ascii="宋体" w:hAnsi="宋体" w:eastAsia="宋体"/>
          <w:bCs/>
          <w:color w:val="000000" w:themeColor="text1"/>
          <w:sz w:val="24"/>
        </w:rPr>
        <w:t>项目绩效目标实际完成情况与申报绩效目标对比表</w:t>
      </w:r>
    </w:p>
    <w:tbl>
      <w:tblPr>
        <w:tblStyle w:val="10"/>
        <w:tblpPr w:leftFromText="180" w:rightFromText="180" w:vertAnchor="text" w:horzAnchor="page" w:tblpXSpec="center" w:tblpY="339"/>
        <w:tblOverlap w:val="never"/>
        <w:tblW w:w="8794" w:type="dxa"/>
        <w:jc w:val="center"/>
        <w:tblLayout w:type="autofit"/>
        <w:tblCellMar>
          <w:top w:w="0" w:type="dxa"/>
          <w:left w:w="0" w:type="dxa"/>
          <w:bottom w:w="0" w:type="dxa"/>
          <w:right w:w="0" w:type="dxa"/>
        </w:tblCellMar>
      </w:tblPr>
      <w:tblGrid>
        <w:gridCol w:w="904"/>
        <w:gridCol w:w="960"/>
        <w:gridCol w:w="1760"/>
        <w:gridCol w:w="580"/>
        <w:gridCol w:w="740"/>
        <w:gridCol w:w="490"/>
        <w:gridCol w:w="710"/>
        <w:gridCol w:w="800"/>
        <w:gridCol w:w="1050"/>
        <w:gridCol w:w="800"/>
      </w:tblGrid>
      <w:tr>
        <w:tblPrEx>
          <w:tblCellMar>
            <w:top w:w="0" w:type="dxa"/>
            <w:left w:w="0" w:type="dxa"/>
            <w:bottom w:w="0" w:type="dxa"/>
            <w:right w:w="0" w:type="dxa"/>
          </w:tblCellMar>
        </w:tblPrEx>
        <w:trPr>
          <w:trHeight w:val="570"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一级指标</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二级指标</w:t>
            </w:r>
          </w:p>
        </w:tc>
        <w:tc>
          <w:tcPr>
            <w:tcW w:w="17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三级指标</w:t>
            </w:r>
          </w:p>
        </w:tc>
        <w:tc>
          <w:tcPr>
            <w:tcW w:w="580"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指标性质</w:t>
            </w:r>
          </w:p>
        </w:tc>
        <w:tc>
          <w:tcPr>
            <w:tcW w:w="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年度</w:t>
            </w:r>
          </w:p>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指标值</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度量单位</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实际</w:t>
            </w:r>
          </w:p>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完成值</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分值</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b/>
                <w:bCs/>
                <w:color w:val="000000" w:themeColor="text1"/>
                <w:kern w:val="0"/>
                <w:sz w:val="20"/>
                <w:szCs w:val="20"/>
              </w:rPr>
            </w:pPr>
            <w:r>
              <w:rPr>
                <w:rFonts w:hint="eastAsia" w:ascii="宋体" w:hAnsi="宋体" w:eastAsia="宋体" w:cs="宋体"/>
                <w:b/>
                <w:bCs/>
                <w:color w:val="000000" w:themeColor="text1"/>
                <w:kern w:val="0"/>
                <w:sz w:val="20"/>
                <w:szCs w:val="20"/>
              </w:rPr>
              <w:t>得分</w:t>
            </w:r>
          </w:p>
        </w:tc>
      </w:tr>
      <w:tr>
        <w:tblPrEx>
          <w:tblCellMar>
            <w:top w:w="0" w:type="dxa"/>
            <w:left w:w="0" w:type="dxa"/>
            <w:bottom w:w="0" w:type="dxa"/>
            <w:right w:w="0" w:type="dxa"/>
          </w:tblCellMar>
        </w:tblPrEx>
        <w:trPr>
          <w:trHeight w:val="499"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场地类别分区图</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幅</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9.00</w:t>
            </w:r>
          </w:p>
        </w:tc>
      </w:tr>
      <w:tr>
        <w:tblPrEx>
          <w:tblCellMar>
            <w:top w:w="0" w:type="dxa"/>
            <w:left w:w="0" w:type="dxa"/>
            <w:bottom w:w="0" w:type="dxa"/>
            <w:right w:w="0" w:type="dxa"/>
          </w:tblCellMar>
        </w:tblPrEx>
        <w:trPr>
          <w:trHeight w:val="488"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地震危险图数据库</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r>
      <w:tr>
        <w:tblPrEx>
          <w:tblCellMar>
            <w:top w:w="0" w:type="dxa"/>
            <w:left w:w="0" w:type="dxa"/>
            <w:bottom w:w="0" w:type="dxa"/>
            <w:right w:w="0" w:type="dxa"/>
          </w:tblCellMar>
        </w:tblPrEx>
        <w:trPr>
          <w:trHeight w:val="623"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地震灾害风险普查技术报告</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r>
      <w:tr>
        <w:tblPrEx>
          <w:tblCellMar>
            <w:top w:w="0" w:type="dxa"/>
            <w:left w:w="0" w:type="dxa"/>
            <w:bottom w:w="0" w:type="dxa"/>
            <w:right w:w="0" w:type="dxa"/>
          </w:tblCellMar>
        </w:tblPrEx>
        <w:trPr>
          <w:trHeight w:val="623"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地震灾害风险区划与防治区划图</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6</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幅</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20.00</w:t>
            </w:r>
          </w:p>
        </w:tc>
      </w:tr>
      <w:tr>
        <w:trPr>
          <w:trHeight w:val="532"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潜在震源区分布图</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幅</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r>
      <w:tr>
        <w:tblPrEx>
          <w:tblCellMar>
            <w:top w:w="0" w:type="dxa"/>
            <w:left w:w="0" w:type="dxa"/>
            <w:bottom w:w="0" w:type="dxa"/>
            <w:right w:w="0" w:type="dxa"/>
          </w:tblCellMar>
        </w:tblPrEx>
        <w:trPr>
          <w:trHeight w:val="623"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产出指标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数量指标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钻孔数据库</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个</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9.00</w:t>
            </w:r>
          </w:p>
        </w:tc>
      </w:tr>
      <w:tr>
        <w:tblPrEx>
          <w:tblCellMar>
            <w:top w:w="0" w:type="dxa"/>
            <w:left w:w="0" w:type="dxa"/>
            <w:bottom w:w="0" w:type="dxa"/>
            <w:right w:w="0" w:type="dxa"/>
          </w:tblCellMar>
        </w:tblPrEx>
        <w:trPr>
          <w:trHeight w:val="623"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效益指标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社会效益指标</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全省防震减灾水平</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定性</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高中低</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高</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9.00</w:t>
            </w:r>
          </w:p>
        </w:tc>
      </w:tr>
      <w:tr>
        <w:tblPrEx>
          <w:tblCellMar>
            <w:top w:w="0" w:type="dxa"/>
            <w:left w:w="0" w:type="dxa"/>
            <w:bottom w:w="0" w:type="dxa"/>
            <w:right w:w="0" w:type="dxa"/>
          </w:tblCellMar>
        </w:tblPrEx>
        <w:trPr>
          <w:trHeight w:val="623" w:hRule="atLeast"/>
          <w:jc w:val="center"/>
        </w:trPr>
        <w:tc>
          <w:tcPr>
            <w:tcW w:w="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满意度指标</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服务对象满意度</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left"/>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震害防御人员满意度</w:t>
            </w:r>
          </w:p>
        </w:tc>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95</w:t>
            </w:r>
          </w:p>
        </w:tc>
        <w:tc>
          <w:tcPr>
            <w:tcW w:w="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95</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9.00</w:t>
            </w:r>
          </w:p>
        </w:tc>
      </w:tr>
      <w:tr>
        <w:tblPrEx>
          <w:tblCellMar>
            <w:top w:w="0" w:type="dxa"/>
            <w:left w:w="0" w:type="dxa"/>
            <w:bottom w:w="0" w:type="dxa"/>
            <w:right w:w="0" w:type="dxa"/>
          </w:tblCellMar>
        </w:tblPrEx>
        <w:trPr>
          <w:trHeight w:val="623" w:hRule="atLeast"/>
          <w:jc w:val="center"/>
        </w:trPr>
        <w:tc>
          <w:tcPr>
            <w:tcW w:w="6944"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lang w:val="en-US" w:eastAsia="zh-CN"/>
              </w:rPr>
              <w:t>90</w:t>
            </w:r>
            <w:r>
              <w:rPr>
                <w:rFonts w:hint="eastAsia" w:ascii="宋体" w:hAnsi="宋体" w:eastAsia="宋体" w:cs="宋体"/>
                <w:color w:val="000000" w:themeColor="text1"/>
                <w:kern w:val="0"/>
                <w:sz w:val="20"/>
                <w:szCs w:val="20"/>
              </w:rPr>
              <w:t>.00</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tLeast"/>
              <w:jc w:val="center"/>
              <w:rPr>
                <w:rFonts w:ascii="宋体" w:hAnsi="宋体" w:eastAsia="宋体" w:cs="宋体"/>
                <w:color w:val="000000" w:themeColor="text1"/>
                <w:kern w:val="0"/>
                <w:sz w:val="20"/>
                <w:szCs w:val="20"/>
              </w:rPr>
            </w:pPr>
            <w:r>
              <w:rPr>
                <w:rFonts w:hint="eastAsia" w:ascii="宋体" w:hAnsi="宋体" w:eastAsia="宋体" w:cs="宋体"/>
                <w:color w:val="000000" w:themeColor="text1"/>
                <w:kern w:val="0"/>
                <w:sz w:val="20"/>
                <w:szCs w:val="20"/>
                <w:lang w:val="en-US" w:eastAsia="zh-CN"/>
              </w:rPr>
              <w:t>8</w:t>
            </w:r>
            <w:r>
              <w:rPr>
                <w:rFonts w:hint="eastAsia" w:ascii="宋体" w:hAnsi="宋体" w:eastAsia="宋体" w:cs="宋体"/>
                <w:color w:val="000000" w:themeColor="text1"/>
                <w:kern w:val="0"/>
                <w:sz w:val="20"/>
                <w:szCs w:val="20"/>
              </w:rPr>
              <w:t>6.00</w:t>
            </w:r>
          </w:p>
        </w:tc>
      </w:tr>
    </w:tbl>
    <w:p>
      <w:pPr>
        <w:spacing w:line="578" w:lineRule="exact"/>
        <w:ind w:firstLine="640" w:firstLineChars="200"/>
        <w:rPr>
          <w:bCs/>
          <w:color w:val="000000" w:themeColor="text1"/>
          <w:szCs w:val="32"/>
        </w:rPr>
      </w:pPr>
      <w:r>
        <w:rPr>
          <w:bCs/>
          <w:color w:val="000000" w:themeColor="text1"/>
          <w:szCs w:val="32"/>
        </w:rPr>
        <w:t>2</w:t>
      </w:r>
      <w:r>
        <w:rPr>
          <w:rFonts w:hint="eastAsia"/>
          <w:bCs/>
          <w:color w:val="000000" w:themeColor="text1"/>
          <w:szCs w:val="32"/>
        </w:rPr>
        <w:t>. 项目的经济性分析</w:t>
      </w:r>
    </w:p>
    <w:p>
      <w:pPr>
        <w:spacing w:line="578" w:lineRule="exact"/>
        <w:ind w:firstLine="640" w:firstLineChars="200"/>
        <w:outlineLvl w:val="0"/>
        <w:rPr>
          <w:bCs/>
          <w:color w:val="000000" w:themeColor="text1"/>
          <w:szCs w:val="32"/>
        </w:rPr>
      </w:pPr>
      <w:r>
        <w:rPr>
          <w:rFonts w:hint="eastAsia"/>
          <w:bCs/>
          <w:color w:val="000000" w:themeColor="text1"/>
          <w:szCs w:val="32"/>
        </w:rPr>
        <w:t>（1）项目</w:t>
      </w:r>
      <w:r>
        <w:rPr>
          <w:bCs/>
          <w:color w:val="000000" w:themeColor="text1"/>
          <w:szCs w:val="32"/>
        </w:rPr>
        <w:t>成本（</w:t>
      </w:r>
      <w:r>
        <w:rPr>
          <w:rFonts w:hint="eastAsia"/>
          <w:bCs/>
          <w:color w:val="000000" w:themeColor="text1"/>
          <w:szCs w:val="32"/>
        </w:rPr>
        <w:t>预算</w:t>
      </w:r>
      <w:r>
        <w:rPr>
          <w:bCs/>
          <w:color w:val="000000" w:themeColor="text1"/>
          <w:szCs w:val="32"/>
        </w:rPr>
        <w:t>）</w:t>
      </w:r>
      <w:r>
        <w:rPr>
          <w:rFonts w:hint="eastAsia"/>
          <w:bCs/>
          <w:color w:val="000000" w:themeColor="text1"/>
          <w:szCs w:val="32"/>
        </w:rPr>
        <w:t>控制</w:t>
      </w:r>
      <w:r>
        <w:rPr>
          <w:bCs/>
          <w:color w:val="000000" w:themeColor="text1"/>
          <w:szCs w:val="32"/>
        </w:rPr>
        <w:t>情况</w:t>
      </w:r>
    </w:p>
    <w:p>
      <w:pPr>
        <w:spacing w:line="578" w:lineRule="exact"/>
        <w:ind w:firstLine="480" w:firstLineChars="150"/>
        <w:rPr>
          <w:bCs/>
          <w:color w:val="000000" w:themeColor="text1"/>
          <w:szCs w:val="32"/>
        </w:rPr>
      </w:pPr>
      <w:r>
        <w:rPr>
          <w:color w:val="000000" w:themeColor="text1"/>
          <w:szCs w:val="32"/>
        </w:rPr>
        <w:t>202</w:t>
      </w:r>
      <w:r>
        <w:rPr>
          <w:rFonts w:hint="eastAsia"/>
          <w:color w:val="000000" w:themeColor="text1"/>
          <w:szCs w:val="32"/>
        </w:rPr>
        <w:t>2</w:t>
      </w:r>
      <w:r>
        <w:rPr>
          <w:color w:val="000000" w:themeColor="text1"/>
          <w:szCs w:val="32"/>
        </w:rPr>
        <w:t>年</w:t>
      </w:r>
      <w:r>
        <w:rPr>
          <w:rFonts w:hint="eastAsia"/>
          <w:color w:val="000000" w:themeColor="text1"/>
          <w:szCs w:val="32"/>
        </w:rPr>
        <w:t>地震灾害风险防治项目实际</w:t>
      </w:r>
      <w:r>
        <w:rPr>
          <w:color w:val="000000" w:themeColor="text1"/>
          <w:szCs w:val="32"/>
        </w:rPr>
        <w:t>总投资</w:t>
      </w:r>
      <w:r>
        <w:rPr>
          <w:color w:val="000000" w:themeColor="text1"/>
          <w:szCs w:val="32"/>
          <w:highlight w:val="none"/>
        </w:rPr>
        <w:t>额</w:t>
      </w:r>
      <w:r>
        <w:rPr>
          <w:rFonts w:hint="eastAsia" w:hAnsi="宋体" w:cs="仿宋_GB2312"/>
          <w:color w:val="000000" w:themeColor="text1"/>
          <w:szCs w:val="32"/>
          <w:highlight w:val="none"/>
          <w:shd w:val="clear" w:color="auto" w:fill="FFFFFF"/>
          <w:lang w:val="en-US" w:eastAsia="zh-CN"/>
        </w:rPr>
        <w:t>633.37万元</w:t>
      </w:r>
      <w:r>
        <w:rPr>
          <w:color w:val="000000" w:themeColor="text1"/>
          <w:szCs w:val="32"/>
          <w:highlight w:val="none"/>
        </w:rPr>
        <w:t>，</w:t>
      </w:r>
      <w:r>
        <w:rPr>
          <w:rFonts w:hint="eastAsia"/>
          <w:color w:val="000000" w:themeColor="text1"/>
          <w:szCs w:val="32"/>
          <w:highlight w:val="none"/>
        </w:rPr>
        <w:t>截至2022年12月31日，完成投资</w:t>
      </w:r>
      <w:r>
        <w:rPr>
          <w:rFonts w:hint="eastAsia" w:hAnsi="宋体" w:cs="仿宋_GB2312"/>
          <w:color w:val="000000" w:themeColor="text1"/>
          <w:kern w:val="0"/>
          <w:szCs w:val="32"/>
          <w:highlight w:val="none"/>
          <w:shd w:val="clear" w:color="auto" w:fill="FFFFFF"/>
        </w:rPr>
        <w:t>633</w:t>
      </w:r>
      <w:r>
        <w:rPr>
          <w:rFonts w:hint="eastAsia" w:hAnsi="宋体" w:cs="仿宋_GB2312"/>
          <w:color w:val="000000" w:themeColor="text1"/>
          <w:kern w:val="0"/>
          <w:szCs w:val="32"/>
          <w:highlight w:val="none"/>
          <w:shd w:val="clear" w:color="auto" w:fill="FFFFFF"/>
          <w:lang w:val="en-US" w:eastAsia="zh-CN"/>
        </w:rPr>
        <w:t>.17万</w:t>
      </w:r>
      <w:r>
        <w:rPr>
          <w:rFonts w:hint="eastAsia"/>
          <w:color w:val="000000" w:themeColor="text1"/>
          <w:szCs w:val="32"/>
          <w:highlight w:val="none"/>
        </w:rPr>
        <w:t>元，占项目总投资额99.9</w:t>
      </w:r>
      <w:r>
        <w:rPr>
          <w:color w:val="000000" w:themeColor="text1"/>
          <w:szCs w:val="32"/>
          <w:highlight w:val="none"/>
        </w:rPr>
        <w:t>7</w:t>
      </w:r>
      <w:r>
        <w:rPr>
          <w:rFonts w:hint="eastAsia"/>
          <w:color w:val="000000" w:themeColor="text1"/>
          <w:szCs w:val="32"/>
          <w:highlight w:val="none"/>
        </w:rPr>
        <w:t>%。</w:t>
      </w:r>
      <w:r>
        <w:rPr>
          <w:rFonts w:hint="eastAsia"/>
          <w:bCs/>
          <w:color w:val="000000" w:themeColor="text1"/>
          <w:szCs w:val="32"/>
          <w:highlight w:val="none"/>
        </w:rPr>
        <w:t>项目成本（预算）严格按项目预算执</w:t>
      </w:r>
      <w:r>
        <w:rPr>
          <w:rFonts w:hint="eastAsia"/>
          <w:bCs/>
          <w:color w:val="000000" w:themeColor="text1"/>
          <w:szCs w:val="32"/>
        </w:rPr>
        <w:t>行，项目成本控制在预算内，无超预算情况。</w:t>
      </w:r>
    </w:p>
    <w:p>
      <w:pPr>
        <w:spacing w:line="578" w:lineRule="exact"/>
        <w:ind w:firstLine="640" w:firstLineChars="200"/>
        <w:outlineLvl w:val="0"/>
        <w:rPr>
          <w:color w:val="000000" w:themeColor="text1"/>
          <w:szCs w:val="32"/>
        </w:rPr>
      </w:pPr>
      <w:r>
        <w:rPr>
          <w:rFonts w:hint="eastAsia"/>
          <w:color w:val="000000" w:themeColor="text1"/>
          <w:szCs w:val="32"/>
        </w:rPr>
        <w:t>（2）项目</w:t>
      </w:r>
      <w:r>
        <w:rPr>
          <w:color w:val="000000" w:themeColor="text1"/>
          <w:szCs w:val="32"/>
        </w:rPr>
        <w:t>成本（</w:t>
      </w:r>
      <w:r>
        <w:rPr>
          <w:rFonts w:hint="eastAsia"/>
          <w:color w:val="000000" w:themeColor="text1"/>
          <w:szCs w:val="32"/>
        </w:rPr>
        <w:t>预算</w:t>
      </w:r>
      <w:r>
        <w:rPr>
          <w:color w:val="000000" w:themeColor="text1"/>
          <w:szCs w:val="32"/>
        </w:rPr>
        <w:t>）</w:t>
      </w:r>
      <w:r>
        <w:rPr>
          <w:rFonts w:hint="eastAsia"/>
          <w:color w:val="000000" w:themeColor="text1"/>
          <w:szCs w:val="32"/>
        </w:rPr>
        <w:t>节约</w:t>
      </w:r>
      <w:r>
        <w:rPr>
          <w:color w:val="000000" w:themeColor="text1"/>
          <w:szCs w:val="32"/>
        </w:rPr>
        <w:t>情况</w:t>
      </w:r>
    </w:p>
    <w:p>
      <w:pPr>
        <w:spacing w:line="578" w:lineRule="exact"/>
        <w:ind w:firstLine="640" w:firstLineChars="200"/>
        <w:outlineLvl w:val="0"/>
        <w:rPr>
          <w:color w:val="000000" w:themeColor="text1"/>
          <w:szCs w:val="32"/>
        </w:rPr>
      </w:pPr>
      <w:r>
        <w:rPr>
          <w:color w:val="000000" w:themeColor="text1"/>
          <w:szCs w:val="32"/>
        </w:rPr>
        <w:t>为减少成本支出，主动承担</w:t>
      </w:r>
      <w:bookmarkStart w:id="0" w:name="_GoBack"/>
      <w:bookmarkEnd w:id="0"/>
      <w:r>
        <w:rPr>
          <w:color w:val="000000" w:themeColor="text1"/>
          <w:szCs w:val="32"/>
        </w:rPr>
        <w:t>市场价格较高，工作较累的外业工作；在</w:t>
      </w:r>
      <w:r>
        <w:rPr>
          <w:rFonts w:hint="eastAsia"/>
          <w:color w:val="000000" w:themeColor="text1"/>
          <w:szCs w:val="32"/>
        </w:rPr>
        <w:t>调研</w:t>
      </w:r>
      <w:r>
        <w:rPr>
          <w:color w:val="000000" w:themeColor="text1"/>
          <w:szCs w:val="32"/>
        </w:rPr>
        <w:t>出差时，</w:t>
      </w:r>
      <w:r>
        <w:rPr>
          <w:rFonts w:hint="eastAsia"/>
          <w:color w:val="000000" w:themeColor="text1"/>
          <w:szCs w:val="32"/>
        </w:rPr>
        <w:t>尽量</w:t>
      </w:r>
      <w:r>
        <w:rPr>
          <w:color w:val="000000" w:themeColor="text1"/>
          <w:szCs w:val="32"/>
        </w:rPr>
        <w:t>挑选</w:t>
      </w:r>
      <w:r>
        <w:rPr>
          <w:rFonts w:hint="eastAsia"/>
          <w:color w:val="000000" w:themeColor="text1"/>
          <w:szCs w:val="32"/>
        </w:rPr>
        <w:t>性价比高</w:t>
      </w:r>
      <w:r>
        <w:rPr>
          <w:color w:val="000000" w:themeColor="text1"/>
          <w:szCs w:val="32"/>
        </w:rPr>
        <w:t>的酒店进行住宿</w:t>
      </w:r>
      <w:r>
        <w:rPr>
          <w:rFonts w:hint="eastAsia"/>
          <w:color w:val="000000" w:themeColor="text1"/>
          <w:szCs w:val="32"/>
        </w:rPr>
        <w:t>。</w:t>
      </w:r>
      <w:r>
        <w:rPr>
          <w:color w:val="000000" w:themeColor="text1"/>
          <w:szCs w:val="32"/>
        </w:rPr>
        <w:t>在节约开支的情况下，完成了支出计划。</w:t>
      </w:r>
    </w:p>
    <w:p>
      <w:pPr>
        <w:tabs>
          <w:tab w:val="left" w:pos="640"/>
        </w:tabs>
        <w:spacing w:line="578" w:lineRule="exact"/>
        <w:ind w:firstLine="640" w:firstLineChars="200"/>
        <w:outlineLvl w:val="0"/>
        <w:rPr>
          <w:bCs/>
          <w:color w:val="000000" w:themeColor="text1"/>
          <w:szCs w:val="32"/>
        </w:rPr>
      </w:pPr>
      <w:r>
        <w:rPr>
          <w:bCs/>
          <w:color w:val="000000" w:themeColor="text1"/>
          <w:szCs w:val="32"/>
        </w:rPr>
        <w:t>3</w:t>
      </w:r>
      <w:r>
        <w:rPr>
          <w:rFonts w:hint="eastAsia"/>
          <w:bCs/>
          <w:color w:val="000000" w:themeColor="text1"/>
          <w:szCs w:val="32"/>
        </w:rPr>
        <w:t>. 项目的效率性分析</w:t>
      </w:r>
    </w:p>
    <w:p>
      <w:pPr>
        <w:spacing w:line="578" w:lineRule="exact"/>
        <w:ind w:firstLine="640" w:firstLineChars="200"/>
        <w:rPr>
          <w:color w:val="000000" w:themeColor="text1"/>
          <w:szCs w:val="32"/>
        </w:rPr>
      </w:pPr>
      <w:r>
        <w:rPr>
          <w:rFonts w:hint="eastAsia"/>
          <w:color w:val="000000" w:themeColor="text1"/>
          <w:szCs w:val="32"/>
        </w:rPr>
        <w:t>（1）项目的实施进度</w:t>
      </w:r>
    </w:p>
    <w:p>
      <w:pPr>
        <w:ind w:firstLine="640" w:firstLineChars="200"/>
        <w:rPr>
          <w:rFonts w:hint="eastAsia"/>
          <w:color w:val="000000" w:themeColor="text1"/>
        </w:rPr>
      </w:pPr>
      <w:r>
        <w:rPr>
          <w:rFonts w:hint="eastAsia"/>
          <w:color w:val="000000" w:themeColor="text1"/>
        </w:rPr>
        <w:t>项目实施按照本年度工作实施方案进行，实施进度符合项目要求。</w:t>
      </w:r>
    </w:p>
    <w:p>
      <w:pPr>
        <w:spacing w:line="578" w:lineRule="exact"/>
        <w:ind w:firstLine="640" w:firstLineChars="200"/>
        <w:rPr>
          <w:color w:val="000000" w:themeColor="text1"/>
          <w:szCs w:val="32"/>
        </w:rPr>
      </w:pPr>
      <w:r>
        <w:rPr>
          <w:rFonts w:hint="eastAsia"/>
          <w:color w:val="000000" w:themeColor="text1"/>
          <w:szCs w:val="32"/>
        </w:rPr>
        <w:t>（2）项目完成质量</w:t>
      </w:r>
    </w:p>
    <w:p>
      <w:pPr>
        <w:spacing w:line="578" w:lineRule="exact"/>
        <w:ind w:firstLine="640" w:firstLineChars="200"/>
        <w:rPr>
          <w:color w:val="000000" w:themeColor="text1"/>
          <w:szCs w:val="32"/>
        </w:rPr>
      </w:pPr>
      <w:r>
        <w:rPr>
          <w:rFonts w:hint="eastAsia"/>
          <w:color w:val="000000" w:themeColor="text1"/>
          <w:szCs w:val="32"/>
        </w:rPr>
        <w:t>项目开展严格按照《</w:t>
      </w:r>
      <w:r>
        <w:rPr>
          <w:color w:val="000000" w:themeColor="text1"/>
          <w:szCs w:val="32"/>
        </w:rPr>
        <w:t>1</w:t>
      </w:r>
      <w:r>
        <w:rPr>
          <w:rFonts w:hint="eastAsia"/>
          <w:color w:val="000000" w:themeColor="text1"/>
          <w:szCs w:val="32"/>
        </w:rPr>
        <w:t>:</w:t>
      </w:r>
      <w:r>
        <w:rPr>
          <w:color w:val="000000" w:themeColor="text1"/>
          <w:szCs w:val="32"/>
        </w:rPr>
        <w:t>250000</w:t>
      </w:r>
      <w:r>
        <w:rPr>
          <w:rFonts w:hint="eastAsia"/>
          <w:color w:val="000000" w:themeColor="text1"/>
          <w:szCs w:val="32"/>
        </w:rPr>
        <w:t>地震构造图编制指南》《场地地震工程地质条件钻孔资料收集工作指南》《地震危险性图编制技术规范》（FXPC/DZ P-01）《地震灾害风险评估技术规范》（FXPC/DZ P-02）和《场地地震工程地质条件钻孔资料收集工作指南》等规范要求执行，完成质量相对较高。</w:t>
      </w:r>
    </w:p>
    <w:p>
      <w:pPr>
        <w:spacing w:line="578" w:lineRule="exact"/>
        <w:ind w:firstLine="640" w:firstLineChars="200"/>
        <w:outlineLvl w:val="0"/>
        <w:rPr>
          <w:bCs/>
          <w:color w:val="000000" w:themeColor="text1"/>
          <w:szCs w:val="32"/>
        </w:rPr>
      </w:pPr>
      <w:r>
        <w:rPr>
          <w:rFonts w:hint="eastAsia"/>
          <w:bCs/>
          <w:color w:val="000000" w:themeColor="text1"/>
          <w:szCs w:val="32"/>
        </w:rPr>
        <w:t>4. 项目的可持续性分析</w:t>
      </w:r>
    </w:p>
    <w:p>
      <w:pPr>
        <w:spacing w:line="578" w:lineRule="exact"/>
        <w:ind w:firstLine="640" w:firstLineChars="200"/>
        <w:rPr>
          <w:rFonts w:hint="eastAsia"/>
          <w:color w:val="000000" w:themeColor="text1"/>
          <w:szCs w:val="32"/>
        </w:rPr>
      </w:pPr>
      <w:r>
        <w:rPr>
          <w:rFonts w:hint="eastAsia"/>
          <w:color w:val="000000" w:themeColor="text1"/>
          <w:szCs w:val="32"/>
        </w:rPr>
        <w:t>本年度工作的完成，一方面有效提升科技人员素养，另一方面为震害防御以及本项目工作持续开展奠定坚实的基础。</w:t>
      </w:r>
    </w:p>
    <w:p>
      <w:pPr>
        <w:numPr>
          <w:ilvl w:val="0"/>
          <w:numId w:val="4"/>
        </w:numPr>
        <w:tabs>
          <w:tab w:val="left" w:pos="878"/>
        </w:tabs>
        <w:spacing w:line="578" w:lineRule="exact"/>
        <w:ind w:firstLine="640" w:firstLineChars="200"/>
        <w:outlineLvl w:val="0"/>
        <w:rPr>
          <w:bCs/>
          <w:color w:val="000000" w:themeColor="text1"/>
          <w:szCs w:val="32"/>
        </w:rPr>
      </w:pPr>
      <w:r>
        <w:rPr>
          <w:rFonts w:hint="eastAsia"/>
          <w:bCs/>
          <w:color w:val="000000" w:themeColor="text1"/>
          <w:szCs w:val="32"/>
        </w:rPr>
        <w:t>项目绩效目标未完成原因分析</w:t>
      </w:r>
    </w:p>
    <w:p>
      <w:pPr>
        <w:tabs>
          <w:tab w:val="left" w:pos="878"/>
        </w:tabs>
        <w:spacing w:line="578" w:lineRule="exact"/>
        <w:ind w:firstLine="660"/>
        <w:outlineLvl w:val="0"/>
        <w:rPr>
          <w:rFonts w:hint="eastAsia"/>
          <w:color w:val="000000" w:themeColor="text1"/>
        </w:rPr>
      </w:pPr>
      <w:r>
        <w:rPr>
          <w:rFonts w:hint="eastAsia"/>
          <w:color w:val="000000" w:themeColor="text1"/>
        </w:rPr>
        <w:t>无。</w:t>
      </w:r>
    </w:p>
    <w:p>
      <w:pPr>
        <w:numPr>
          <w:ilvl w:val="0"/>
          <w:numId w:val="5"/>
        </w:numPr>
        <w:spacing w:line="578" w:lineRule="exact"/>
        <w:ind w:firstLine="640" w:firstLineChars="200"/>
        <w:outlineLvl w:val="0"/>
        <w:rPr>
          <w:rFonts w:ascii="黑体" w:hAnsi="黑体" w:eastAsia="黑体" w:cs="黑体"/>
          <w:color w:val="000000" w:themeColor="text1"/>
          <w:szCs w:val="32"/>
        </w:rPr>
      </w:pPr>
      <w:r>
        <w:rPr>
          <w:rFonts w:hint="eastAsia" w:ascii="黑体" w:hAnsi="黑体" w:eastAsia="黑体" w:cs="黑体"/>
          <w:color w:val="000000" w:themeColor="text1"/>
          <w:szCs w:val="32"/>
        </w:rPr>
        <w:t>项目自评结论</w:t>
      </w:r>
    </w:p>
    <w:p>
      <w:pPr>
        <w:spacing w:line="578" w:lineRule="exact"/>
        <w:ind w:firstLine="640" w:firstLineChars="200"/>
        <w:rPr>
          <w:color w:val="000000" w:themeColor="text1"/>
          <w:szCs w:val="32"/>
        </w:rPr>
      </w:pPr>
      <w:r>
        <w:rPr>
          <w:rFonts w:hint="eastAsia"/>
          <w:color w:val="000000" w:themeColor="text1"/>
          <w:szCs w:val="32"/>
        </w:rPr>
        <w:t>2022年地震灾害风险防治项目实际到位金额为 633.</w:t>
      </w:r>
      <w:r>
        <w:rPr>
          <w:color w:val="000000" w:themeColor="text1"/>
          <w:szCs w:val="32"/>
        </w:rPr>
        <w:t>3</w:t>
      </w:r>
      <w:r>
        <w:rPr>
          <w:rFonts w:hint="eastAsia"/>
          <w:color w:val="000000" w:themeColor="text1"/>
          <w:szCs w:val="32"/>
        </w:rPr>
        <w:t>7万元，完成投资633.1</w:t>
      </w:r>
      <w:r>
        <w:rPr>
          <w:color w:val="000000" w:themeColor="text1"/>
          <w:szCs w:val="32"/>
        </w:rPr>
        <w:t>7</w:t>
      </w:r>
      <w:r>
        <w:rPr>
          <w:rFonts w:hint="eastAsia"/>
          <w:color w:val="000000" w:themeColor="text1"/>
          <w:szCs w:val="32"/>
        </w:rPr>
        <w:t>万元，占总投资99.9</w:t>
      </w:r>
      <w:r>
        <w:rPr>
          <w:color w:val="000000" w:themeColor="text1"/>
          <w:szCs w:val="32"/>
        </w:rPr>
        <w:t>7</w:t>
      </w:r>
      <w:r>
        <w:rPr>
          <w:rFonts w:hint="eastAsia"/>
          <w:color w:val="000000" w:themeColor="text1"/>
          <w:szCs w:val="32"/>
        </w:rPr>
        <w:t>%。资金管理和使用严格按照财政批复的预算和用款计划执行，严格按照项目预算使用的用途安排资金支出。</w:t>
      </w:r>
    </w:p>
    <w:p>
      <w:pPr>
        <w:spacing w:line="578" w:lineRule="exact"/>
        <w:ind w:firstLine="640" w:firstLineChars="200"/>
        <w:rPr>
          <w:bCs/>
          <w:color w:val="000000" w:themeColor="text1"/>
          <w:szCs w:val="32"/>
        </w:rPr>
      </w:pPr>
      <w:r>
        <w:rPr>
          <w:rFonts w:hint="eastAsia"/>
          <w:bCs/>
          <w:color w:val="000000" w:themeColor="text1"/>
          <w:szCs w:val="32"/>
        </w:rPr>
        <w:t>项目</w:t>
      </w:r>
      <w:r>
        <w:rPr>
          <w:rFonts w:hint="eastAsia"/>
          <w:color w:val="000000" w:themeColor="text1"/>
          <w:szCs w:val="32"/>
        </w:rPr>
        <w:t>参照《海南省项目支出绩效评价管理实施办法》中</w:t>
      </w:r>
      <w:r>
        <w:rPr>
          <w:rFonts w:hint="eastAsia"/>
          <w:bCs/>
          <w:color w:val="000000" w:themeColor="text1"/>
          <w:szCs w:val="32"/>
        </w:rPr>
        <w:t>项目概况、决策及资金使用及管理情况、组织实施情况、绩效情况等情况对项目进行自评，对各项指标进行打分，</w:t>
      </w:r>
      <w:r>
        <w:rPr>
          <w:rFonts w:hint="eastAsia"/>
          <w:color w:val="000000" w:themeColor="text1"/>
          <w:szCs w:val="32"/>
        </w:rPr>
        <w:t>本项目自评得分为 96 分，</w:t>
      </w:r>
      <w:r>
        <w:rPr>
          <w:rFonts w:hint="eastAsia"/>
          <w:bCs/>
          <w:color w:val="000000" w:themeColor="text1"/>
          <w:szCs w:val="32"/>
        </w:rPr>
        <w:t>项目自评等级为优秀。</w:t>
      </w:r>
    </w:p>
    <w:p>
      <w:pPr>
        <w:spacing w:line="578" w:lineRule="exact"/>
        <w:ind w:firstLine="640" w:firstLineChars="200"/>
        <w:outlineLvl w:val="0"/>
        <w:rPr>
          <w:b/>
          <w:bCs/>
          <w:color w:val="000000" w:themeColor="text1"/>
          <w:szCs w:val="32"/>
        </w:rPr>
      </w:pPr>
      <w:r>
        <w:rPr>
          <w:rFonts w:hint="eastAsia"/>
          <w:b/>
          <w:bCs/>
          <w:color w:val="000000" w:themeColor="text1"/>
          <w:szCs w:val="32"/>
        </w:rPr>
        <w:t>六、其他需要说明的问题</w:t>
      </w:r>
    </w:p>
    <w:p>
      <w:pPr>
        <w:spacing w:line="578" w:lineRule="exact"/>
        <w:ind w:firstLine="640" w:firstLineChars="200"/>
        <w:rPr>
          <w:bCs/>
          <w:color w:val="000000" w:themeColor="text1"/>
          <w:szCs w:val="32"/>
        </w:rPr>
      </w:pPr>
      <w:r>
        <w:rPr>
          <w:rFonts w:hint="eastAsia"/>
          <w:bCs/>
          <w:color w:val="000000" w:themeColor="text1"/>
          <w:szCs w:val="32"/>
        </w:rPr>
        <w:t>（一）后续工作计划</w:t>
      </w:r>
    </w:p>
    <w:p>
      <w:pPr>
        <w:spacing w:line="578" w:lineRule="exact"/>
        <w:ind w:firstLine="640" w:firstLineChars="200"/>
        <w:rPr>
          <w:color w:val="000000" w:themeColor="text1"/>
          <w:szCs w:val="32"/>
        </w:rPr>
      </w:pPr>
      <w:r>
        <w:rPr>
          <w:rFonts w:hint="eastAsia"/>
          <w:color w:val="000000" w:themeColor="text1"/>
          <w:szCs w:val="32"/>
        </w:rPr>
        <w:t>加强队伍建设，提升技术人员综合素质和业务能力水平，发挥员工干事创业积极性，进一步提升海南省地震灾害风险防治水平，推进项目继续有序开展。</w:t>
      </w:r>
    </w:p>
    <w:p>
      <w:pPr>
        <w:spacing w:line="578" w:lineRule="exact"/>
        <w:ind w:firstLine="640" w:firstLineChars="200"/>
        <w:rPr>
          <w:b/>
          <w:bCs/>
          <w:color w:val="000000" w:themeColor="text1"/>
          <w:szCs w:val="32"/>
        </w:rPr>
      </w:pPr>
      <w:r>
        <w:rPr>
          <w:rFonts w:hint="eastAsia"/>
          <w:color w:val="000000" w:themeColor="text1"/>
          <w:szCs w:val="32"/>
        </w:rPr>
        <w:t>（二</w:t>
      </w:r>
      <w:r>
        <w:rPr>
          <w:rFonts w:hint="eastAsia"/>
          <w:bCs/>
          <w:color w:val="000000" w:themeColor="text1"/>
          <w:szCs w:val="32"/>
        </w:rPr>
        <w:t>）主要经验及做法、存在问题和建议</w:t>
      </w:r>
    </w:p>
    <w:p>
      <w:pPr>
        <w:spacing w:line="578" w:lineRule="exact"/>
        <w:ind w:firstLine="640" w:firstLineChars="200"/>
        <w:rPr>
          <w:color w:val="000000" w:themeColor="text1"/>
          <w:szCs w:val="32"/>
        </w:rPr>
      </w:pPr>
      <w:r>
        <w:rPr>
          <w:rFonts w:hint="eastAsia"/>
          <w:color w:val="000000" w:themeColor="text1"/>
          <w:szCs w:val="32"/>
        </w:rPr>
        <w:t>在资金支付的过程中，要严格按照单位各项财务规定要求，落实“三重一大”制度，保障资金支付的合法性、合规性和合理性，强化绩效管理，提高资金使用效益，把资金用到实处，发挥最大的价值。</w:t>
      </w:r>
    </w:p>
    <w:p>
      <w:pPr>
        <w:pStyle w:val="14"/>
        <w:rPr>
          <w:color w:val="000000" w:themeColor="text1"/>
        </w:rPr>
      </w:pPr>
    </w:p>
    <w:sectPr>
      <w:footerReference r:id="rId3" w:type="default"/>
      <w:pgSz w:w="11906" w:h="16838"/>
      <w:pgMar w:top="2098" w:right="1474" w:bottom="1985"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122285"/>
      <w:docPartObj>
        <w:docPartGallery w:val="autotext"/>
      </w:docPartObj>
    </w:sdtPr>
    <w:sdtContent>
      <w:p>
        <w:pPr>
          <w:pStyle w:val="7"/>
          <w:jc w:val="center"/>
        </w:pPr>
        <w:r>
          <w:fldChar w:fldCharType="begin"/>
        </w:r>
        <w:r>
          <w:instrText xml:space="preserve">PAGE   \* MERGEFORMAT</w:instrText>
        </w:r>
        <w:r>
          <w:fldChar w:fldCharType="separate"/>
        </w:r>
        <w:r>
          <w:rPr>
            <w:lang w:val="zh-CN"/>
          </w:rPr>
          <w:t>9</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2CE6E4"/>
    <w:multiLevelType w:val="singleLevel"/>
    <w:tmpl w:val="B32CE6E4"/>
    <w:lvl w:ilvl="0" w:tentative="0">
      <w:start w:val="1"/>
      <w:numFmt w:val="chineseCounting"/>
      <w:suff w:val="nothing"/>
      <w:lvlText w:val="（%1）"/>
      <w:lvlJc w:val="left"/>
      <w:rPr>
        <w:rFonts w:hint="eastAsia"/>
      </w:rPr>
    </w:lvl>
  </w:abstractNum>
  <w:abstractNum w:abstractNumId="1">
    <w:nsid w:val="00000003"/>
    <w:multiLevelType w:val="singleLevel"/>
    <w:tmpl w:val="00000003"/>
    <w:lvl w:ilvl="0" w:tentative="0">
      <w:start w:val="2"/>
      <w:numFmt w:val="chineseCounting"/>
      <w:suff w:val="nothing"/>
      <w:lvlText w:val="（%1）"/>
      <w:lvlJc w:val="left"/>
    </w:lvl>
  </w:abstractNum>
  <w:abstractNum w:abstractNumId="2">
    <w:nsid w:val="0C4B51E8"/>
    <w:multiLevelType w:val="singleLevel"/>
    <w:tmpl w:val="0C4B51E8"/>
    <w:lvl w:ilvl="0" w:tentative="0">
      <w:start w:val="2"/>
      <w:numFmt w:val="chineseCounting"/>
      <w:suff w:val="nothing"/>
      <w:lvlText w:val="（%1）"/>
      <w:lvlJc w:val="left"/>
      <w:pPr>
        <w:ind w:left="480" w:firstLine="0"/>
      </w:pPr>
      <w:rPr>
        <w:rFonts w:hint="eastAsia"/>
      </w:rPr>
    </w:lvl>
  </w:abstractNum>
  <w:abstractNum w:abstractNumId="3">
    <w:nsid w:val="5EA30767"/>
    <w:multiLevelType w:val="singleLevel"/>
    <w:tmpl w:val="5EA30767"/>
    <w:lvl w:ilvl="0" w:tentative="0">
      <w:start w:val="5"/>
      <w:numFmt w:val="chineseCounting"/>
      <w:suff w:val="nothing"/>
      <w:lvlText w:val="%1、"/>
      <w:lvlJc w:val="left"/>
      <w:rPr>
        <w:rFonts w:hint="eastAsia"/>
      </w:rPr>
    </w:lvl>
  </w:abstractNum>
  <w:abstractNum w:abstractNumId="4">
    <w:nsid w:val="68E12BA6"/>
    <w:multiLevelType w:val="singleLevel"/>
    <w:tmpl w:val="68E12BA6"/>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wZjBjOWU3OGJlMjM0YTk0NDdiMzYxNDdhOGVjMDcifQ=="/>
  </w:docVars>
  <w:rsids>
    <w:rsidRoot w:val="00C22DA9"/>
    <w:rsid w:val="00015ACB"/>
    <w:rsid w:val="00025E95"/>
    <w:rsid w:val="00032F8D"/>
    <w:rsid w:val="00044881"/>
    <w:rsid w:val="0005720B"/>
    <w:rsid w:val="00061CFF"/>
    <w:rsid w:val="000668D3"/>
    <w:rsid w:val="00070815"/>
    <w:rsid w:val="00081DE1"/>
    <w:rsid w:val="00094B09"/>
    <w:rsid w:val="000A241E"/>
    <w:rsid w:val="000A67A9"/>
    <w:rsid w:val="000A7D14"/>
    <w:rsid w:val="000B234F"/>
    <w:rsid w:val="000B7331"/>
    <w:rsid w:val="000D10D1"/>
    <w:rsid w:val="000E4FE5"/>
    <w:rsid w:val="000F09E6"/>
    <w:rsid w:val="000F6545"/>
    <w:rsid w:val="0012371E"/>
    <w:rsid w:val="00131525"/>
    <w:rsid w:val="00134BEB"/>
    <w:rsid w:val="00160DB0"/>
    <w:rsid w:val="001774C2"/>
    <w:rsid w:val="00191A7A"/>
    <w:rsid w:val="0019691A"/>
    <w:rsid w:val="001A1A78"/>
    <w:rsid w:val="001B3125"/>
    <w:rsid w:val="001B4DBB"/>
    <w:rsid w:val="001B7413"/>
    <w:rsid w:val="001B7A78"/>
    <w:rsid w:val="001C07A7"/>
    <w:rsid w:val="001D4114"/>
    <w:rsid w:val="001F3D7F"/>
    <w:rsid w:val="001F60B0"/>
    <w:rsid w:val="002015B4"/>
    <w:rsid w:val="00203565"/>
    <w:rsid w:val="00206685"/>
    <w:rsid w:val="0021696B"/>
    <w:rsid w:val="002409B3"/>
    <w:rsid w:val="00241DE7"/>
    <w:rsid w:val="00253B79"/>
    <w:rsid w:val="002631D5"/>
    <w:rsid w:val="00276F4A"/>
    <w:rsid w:val="00281B38"/>
    <w:rsid w:val="002974EB"/>
    <w:rsid w:val="002C5C5D"/>
    <w:rsid w:val="00302E01"/>
    <w:rsid w:val="003071E0"/>
    <w:rsid w:val="00335B38"/>
    <w:rsid w:val="003463F1"/>
    <w:rsid w:val="003465DA"/>
    <w:rsid w:val="00372FA8"/>
    <w:rsid w:val="003855D7"/>
    <w:rsid w:val="003B64FB"/>
    <w:rsid w:val="003B755E"/>
    <w:rsid w:val="003C1B9B"/>
    <w:rsid w:val="003D2B57"/>
    <w:rsid w:val="003D5FC6"/>
    <w:rsid w:val="003E56F3"/>
    <w:rsid w:val="003F0ECB"/>
    <w:rsid w:val="003F76F4"/>
    <w:rsid w:val="00407D56"/>
    <w:rsid w:val="00412602"/>
    <w:rsid w:val="00422AA4"/>
    <w:rsid w:val="00427F89"/>
    <w:rsid w:val="004438E6"/>
    <w:rsid w:val="00444DE9"/>
    <w:rsid w:val="00446A4A"/>
    <w:rsid w:val="00451EB7"/>
    <w:rsid w:val="00453067"/>
    <w:rsid w:val="004A0607"/>
    <w:rsid w:val="004A19A9"/>
    <w:rsid w:val="004A235F"/>
    <w:rsid w:val="004A5DF7"/>
    <w:rsid w:val="004B61D8"/>
    <w:rsid w:val="004E154C"/>
    <w:rsid w:val="004F6102"/>
    <w:rsid w:val="00523713"/>
    <w:rsid w:val="005309F2"/>
    <w:rsid w:val="005408CE"/>
    <w:rsid w:val="00547DCF"/>
    <w:rsid w:val="0055345C"/>
    <w:rsid w:val="005579DD"/>
    <w:rsid w:val="00565E59"/>
    <w:rsid w:val="00586824"/>
    <w:rsid w:val="005A2E41"/>
    <w:rsid w:val="005A5545"/>
    <w:rsid w:val="005D2C1C"/>
    <w:rsid w:val="005D6B0C"/>
    <w:rsid w:val="005E34AA"/>
    <w:rsid w:val="0061510E"/>
    <w:rsid w:val="00624A98"/>
    <w:rsid w:val="00624B6A"/>
    <w:rsid w:val="00632E3A"/>
    <w:rsid w:val="0063302F"/>
    <w:rsid w:val="00647F8E"/>
    <w:rsid w:val="00650E78"/>
    <w:rsid w:val="0068000C"/>
    <w:rsid w:val="006800A7"/>
    <w:rsid w:val="006847C2"/>
    <w:rsid w:val="0069274B"/>
    <w:rsid w:val="00692E8D"/>
    <w:rsid w:val="006B35D1"/>
    <w:rsid w:val="006D6D2C"/>
    <w:rsid w:val="006F3C4D"/>
    <w:rsid w:val="0071425B"/>
    <w:rsid w:val="00726952"/>
    <w:rsid w:val="007304FD"/>
    <w:rsid w:val="007312C4"/>
    <w:rsid w:val="0074672F"/>
    <w:rsid w:val="00752EAF"/>
    <w:rsid w:val="00763C3A"/>
    <w:rsid w:val="007722A6"/>
    <w:rsid w:val="007830A5"/>
    <w:rsid w:val="00792B8D"/>
    <w:rsid w:val="007B28A8"/>
    <w:rsid w:val="007B3572"/>
    <w:rsid w:val="007B388E"/>
    <w:rsid w:val="007B7661"/>
    <w:rsid w:val="007C7241"/>
    <w:rsid w:val="007E681B"/>
    <w:rsid w:val="007F26B4"/>
    <w:rsid w:val="007F5084"/>
    <w:rsid w:val="007F76F7"/>
    <w:rsid w:val="00801DDF"/>
    <w:rsid w:val="00822B58"/>
    <w:rsid w:val="00830E61"/>
    <w:rsid w:val="00843FB5"/>
    <w:rsid w:val="00854485"/>
    <w:rsid w:val="0086382F"/>
    <w:rsid w:val="0086571D"/>
    <w:rsid w:val="0088073A"/>
    <w:rsid w:val="008824D6"/>
    <w:rsid w:val="008831FD"/>
    <w:rsid w:val="00897EB1"/>
    <w:rsid w:val="008B6204"/>
    <w:rsid w:val="008C50EA"/>
    <w:rsid w:val="008C77B5"/>
    <w:rsid w:val="008E7B80"/>
    <w:rsid w:val="008F0249"/>
    <w:rsid w:val="008F60A4"/>
    <w:rsid w:val="00901FE1"/>
    <w:rsid w:val="00947719"/>
    <w:rsid w:val="00954004"/>
    <w:rsid w:val="00955E4E"/>
    <w:rsid w:val="00962185"/>
    <w:rsid w:val="009B1B5A"/>
    <w:rsid w:val="009B6F8F"/>
    <w:rsid w:val="009C0719"/>
    <w:rsid w:val="009C1598"/>
    <w:rsid w:val="009C5161"/>
    <w:rsid w:val="009C71B8"/>
    <w:rsid w:val="009D05E2"/>
    <w:rsid w:val="009D7868"/>
    <w:rsid w:val="009F06E9"/>
    <w:rsid w:val="009F077C"/>
    <w:rsid w:val="00A03B35"/>
    <w:rsid w:val="00A1408B"/>
    <w:rsid w:val="00A23DDF"/>
    <w:rsid w:val="00A36503"/>
    <w:rsid w:val="00A370DC"/>
    <w:rsid w:val="00A83F79"/>
    <w:rsid w:val="00A92E9C"/>
    <w:rsid w:val="00AA31AE"/>
    <w:rsid w:val="00AB37D4"/>
    <w:rsid w:val="00AB7F5F"/>
    <w:rsid w:val="00AC0560"/>
    <w:rsid w:val="00AC75EB"/>
    <w:rsid w:val="00AD5BEB"/>
    <w:rsid w:val="00B048FB"/>
    <w:rsid w:val="00B05054"/>
    <w:rsid w:val="00B469D6"/>
    <w:rsid w:val="00B47023"/>
    <w:rsid w:val="00B519A0"/>
    <w:rsid w:val="00B57485"/>
    <w:rsid w:val="00B630DC"/>
    <w:rsid w:val="00B7546D"/>
    <w:rsid w:val="00B8732C"/>
    <w:rsid w:val="00BB21B5"/>
    <w:rsid w:val="00BB4623"/>
    <w:rsid w:val="00BD7431"/>
    <w:rsid w:val="00BE0400"/>
    <w:rsid w:val="00C121E8"/>
    <w:rsid w:val="00C22DA9"/>
    <w:rsid w:val="00C30CC4"/>
    <w:rsid w:val="00C41F4F"/>
    <w:rsid w:val="00C51DB5"/>
    <w:rsid w:val="00C52246"/>
    <w:rsid w:val="00CD0BB2"/>
    <w:rsid w:val="00CD542D"/>
    <w:rsid w:val="00CD5754"/>
    <w:rsid w:val="00CD5BE0"/>
    <w:rsid w:val="00CD6C5F"/>
    <w:rsid w:val="00CE111F"/>
    <w:rsid w:val="00D00488"/>
    <w:rsid w:val="00D34417"/>
    <w:rsid w:val="00D52C90"/>
    <w:rsid w:val="00D84263"/>
    <w:rsid w:val="00D86034"/>
    <w:rsid w:val="00D93B9E"/>
    <w:rsid w:val="00DE62B5"/>
    <w:rsid w:val="00DF3209"/>
    <w:rsid w:val="00DF50B6"/>
    <w:rsid w:val="00E10424"/>
    <w:rsid w:val="00E131FD"/>
    <w:rsid w:val="00E174F7"/>
    <w:rsid w:val="00E211E2"/>
    <w:rsid w:val="00E54999"/>
    <w:rsid w:val="00E667B7"/>
    <w:rsid w:val="00E73D07"/>
    <w:rsid w:val="00E934E8"/>
    <w:rsid w:val="00EA3743"/>
    <w:rsid w:val="00EA3AAC"/>
    <w:rsid w:val="00EA5AEE"/>
    <w:rsid w:val="00EA69CB"/>
    <w:rsid w:val="00EB6C82"/>
    <w:rsid w:val="00EB6ED3"/>
    <w:rsid w:val="00EC37DC"/>
    <w:rsid w:val="00ED4F41"/>
    <w:rsid w:val="00EE6CA2"/>
    <w:rsid w:val="00EF29E6"/>
    <w:rsid w:val="00EF4EE6"/>
    <w:rsid w:val="00EF7D8B"/>
    <w:rsid w:val="00F01726"/>
    <w:rsid w:val="00F04E30"/>
    <w:rsid w:val="00F13178"/>
    <w:rsid w:val="00F13AD7"/>
    <w:rsid w:val="00F14250"/>
    <w:rsid w:val="00F2348C"/>
    <w:rsid w:val="00F42F99"/>
    <w:rsid w:val="00F51927"/>
    <w:rsid w:val="00F51BAA"/>
    <w:rsid w:val="00F552CD"/>
    <w:rsid w:val="00F62BB4"/>
    <w:rsid w:val="00F75F6E"/>
    <w:rsid w:val="00F83D8A"/>
    <w:rsid w:val="00FA37DF"/>
    <w:rsid w:val="00FB34FD"/>
    <w:rsid w:val="00FD2502"/>
    <w:rsid w:val="00FD438B"/>
    <w:rsid w:val="00FE17BB"/>
    <w:rsid w:val="02961C7A"/>
    <w:rsid w:val="036C7720"/>
    <w:rsid w:val="041F1C5E"/>
    <w:rsid w:val="0432526E"/>
    <w:rsid w:val="05903DD4"/>
    <w:rsid w:val="06140AC7"/>
    <w:rsid w:val="06F76BE2"/>
    <w:rsid w:val="078E3B26"/>
    <w:rsid w:val="07F0222E"/>
    <w:rsid w:val="08490451"/>
    <w:rsid w:val="08810D60"/>
    <w:rsid w:val="090D4273"/>
    <w:rsid w:val="091E4CD7"/>
    <w:rsid w:val="0A2D6338"/>
    <w:rsid w:val="0AC927AD"/>
    <w:rsid w:val="0D5D330F"/>
    <w:rsid w:val="0D9B6080"/>
    <w:rsid w:val="0DA118AF"/>
    <w:rsid w:val="0F907B96"/>
    <w:rsid w:val="10B76083"/>
    <w:rsid w:val="10D73686"/>
    <w:rsid w:val="11656862"/>
    <w:rsid w:val="13E42337"/>
    <w:rsid w:val="15BC3F8E"/>
    <w:rsid w:val="185D6550"/>
    <w:rsid w:val="185E255D"/>
    <w:rsid w:val="188626AB"/>
    <w:rsid w:val="1C411FE9"/>
    <w:rsid w:val="1D2430E0"/>
    <w:rsid w:val="1D874FF6"/>
    <w:rsid w:val="219A7344"/>
    <w:rsid w:val="22F01A9D"/>
    <w:rsid w:val="25B221B3"/>
    <w:rsid w:val="25B616C6"/>
    <w:rsid w:val="26292D9A"/>
    <w:rsid w:val="26B7548D"/>
    <w:rsid w:val="270304FD"/>
    <w:rsid w:val="27EC51F7"/>
    <w:rsid w:val="28A55C0E"/>
    <w:rsid w:val="2A437B46"/>
    <w:rsid w:val="2AD23650"/>
    <w:rsid w:val="2B3A2149"/>
    <w:rsid w:val="2CF52C34"/>
    <w:rsid w:val="2D1F0171"/>
    <w:rsid w:val="2D794ABE"/>
    <w:rsid w:val="2D797887"/>
    <w:rsid w:val="2DC364A5"/>
    <w:rsid w:val="2EEE7C95"/>
    <w:rsid w:val="2FF03B19"/>
    <w:rsid w:val="303D2B64"/>
    <w:rsid w:val="33C446B0"/>
    <w:rsid w:val="33C858B3"/>
    <w:rsid w:val="34190173"/>
    <w:rsid w:val="35C3770A"/>
    <w:rsid w:val="36690E13"/>
    <w:rsid w:val="366A2A33"/>
    <w:rsid w:val="368C36C8"/>
    <w:rsid w:val="37AC016C"/>
    <w:rsid w:val="37D666E5"/>
    <w:rsid w:val="37FE3830"/>
    <w:rsid w:val="388A4482"/>
    <w:rsid w:val="395E0732"/>
    <w:rsid w:val="39830A1D"/>
    <w:rsid w:val="39DD1606"/>
    <w:rsid w:val="3A540CBF"/>
    <w:rsid w:val="3A5F2C38"/>
    <w:rsid w:val="3A795A4C"/>
    <w:rsid w:val="3B442CF5"/>
    <w:rsid w:val="3B4F705C"/>
    <w:rsid w:val="3BB70672"/>
    <w:rsid w:val="3EA252C0"/>
    <w:rsid w:val="3EC71AD7"/>
    <w:rsid w:val="408E0399"/>
    <w:rsid w:val="40B4138C"/>
    <w:rsid w:val="40D87EC7"/>
    <w:rsid w:val="41DD2A75"/>
    <w:rsid w:val="42CF11B9"/>
    <w:rsid w:val="43C562FA"/>
    <w:rsid w:val="446B7634"/>
    <w:rsid w:val="44BE312A"/>
    <w:rsid w:val="45151FD4"/>
    <w:rsid w:val="458674E8"/>
    <w:rsid w:val="4600738F"/>
    <w:rsid w:val="47925D79"/>
    <w:rsid w:val="47A2295C"/>
    <w:rsid w:val="48E35262"/>
    <w:rsid w:val="49D64210"/>
    <w:rsid w:val="4A1B32E9"/>
    <w:rsid w:val="4A617704"/>
    <w:rsid w:val="4B07047A"/>
    <w:rsid w:val="4BC6475D"/>
    <w:rsid w:val="4C7843FC"/>
    <w:rsid w:val="4D4A67A2"/>
    <w:rsid w:val="4DE67519"/>
    <w:rsid w:val="4DEA59AC"/>
    <w:rsid w:val="4F2651D3"/>
    <w:rsid w:val="51A80E36"/>
    <w:rsid w:val="53AC604E"/>
    <w:rsid w:val="541923EC"/>
    <w:rsid w:val="5480447E"/>
    <w:rsid w:val="54E016C1"/>
    <w:rsid w:val="558E3F55"/>
    <w:rsid w:val="55D96550"/>
    <w:rsid w:val="56AC58BD"/>
    <w:rsid w:val="56EA514D"/>
    <w:rsid w:val="572921C8"/>
    <w:rsid w:val="598C4EB2"/>
    <w:rsid w:val="5A0070E0"/>
    <w:rsid w:val="5A4E3207"/>
    <w:rsid w:val="5AF740A0"/>
    <w:rsid w:val="5B465391"/>
    <w:rsid w:val="5B4B5B67"/>
    <w:rsid w:val="5C91458D"/>
    <w:rsid w:val="5CCC44B1"/>
    <w:rsid w:val="5D7D60B8"/>
    <w:rsid w:val="5DF367E1"/>
    <w:rsid w:val="5E5B0849"/>
    <w:rsid w:val="5EB052D4"/>
    <w:rsid w:val="5EED12FF"/>
    <w:rsid w:val="5F8C554D"/>
    <w:rsid w:val="5FA13855"/>
    <w:rsid w:val="61DB3997"/>
    <w:rsid w:val="629C66E5"/>
    <w:rsid w:val="62CF502E"/>
    <w:rsid w:val="63112889"/>
    <w:rsid w:val="634516EB"/>
    <w:rsid w:val="63DC4CDF"/>
    <w:rsid w:val="63E738B3"/>
    <w:rsid w:val="63F04DB1"/>
    <w:rsid w:val="66525E18"/>
    <w:rsid w:val="66A355AE"/>
    <w:rsid w:val="66C7589F"/>
    <w:rsid w:val="67596DEB"/>
    <w:rsid w:val="6842639E"/>
    <w:rsid w:val="68986417"/>
    <w:rsid w:val="69BF2E7D"/>
    <w:rsid w:val="6A4E430C"/>
    <w:rsid w:val="6B2B604D"/>
    <w:rsid w:val="6B600433"/>
    <w:rsid w:val="6B97434E"/>
    <w:rsid w:val="6C6C3E75"/>
    <w:rsid w:val="6E4B4F30"/>
    <w:rsid w:val="6FCC4EA9"/>
    <w:rsid w:val="70536360"/>
    <w:rsid w:val="70AC1ED3"/>
    <w:rsid w:val="71282AB9"/>
    <w:rsid w:val="714E2481"/>
    <w:rsid w:val="724D574D"/>
    <w:rsid w:val="73284B28"/>
    <w:rsid w:val="761406F6"/>
    <w:rsid w:val="77444EB7"/>
    <w:rsid w:val="784F70CA"/>
    <w:rsid w:val="792A3157"/>
    <w:rsid w:val="795C260A"/>
    <w:rsid w:val="798A119E"/>
    <w:rsid w:val="7ACC4777"/>
    <w:rsid w:val="7AF32610"/>
    <w:rsid w:val="7C062F20"/>
    <w:rsid w:val="7C2F0704"/>
    <w:rsid w:val="7F2C4F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paragraph" w:styleId="2">
    <w:name w:val="heading 3"/>
    <w:basedOn w:val="1"/>
    <w:next w:val="1"/>
    <w:qFormat/>
    <w:uiPriority w:val="0"/>
    <w:pPr>
      <w:keepNext/>
      <w:keepLines/>
      <w:adjustRightInd w:val="0"/>
      <w:spacing w:before="260" w:after="260" w:line="416" w:lineRule="atLeast"/>
      <w:jc w:val="left"/>
      <w:textAlignment w:val="baseline"/>
      <w:outlineLvl w:val="2"/>
    </w:pPr>
    <w:rPr>
      <w:b/>
      <w:bCs/>
      <w:kern w:val="0"/>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仿宋"/>
    </w:rPr>
  </w:style>
  <w:style w:type="paragraph" w:styleId="4">
    <w:name w:val="annotation text"/>
    <w:basedOn w:val="1"/>
    <w:link w:val="45"/>
    <w:qFormat/>
    <w:uiPriority w:val="0"/>
    <w:pPr>
      <w:spacing w:line="360" w:lineRule="auto"/>
      <w:ind w:firstLine="200" w:firstLineChars="200"/>
      <w:jc w:val="left"/>
    </w:pPr>
    <w:rPr>
      <w:rFonts w:ascii="Calibri" w:hAnsi="Calibri" w:eastAsia="宋体"/>
      <w:sz w:val="28"/>
      <w:szCs w:val="22"/>
    </w:rPr>
  </w:style>
  <w:style w:type="paragraph" w:styleId="5">
    <w:name w:val="Date"/>
    <w:basedOn w:val="1"/>
    <w:next w:val="1"/>
    <w:link w:val="203"/>
    <w:qFormat/>
    <w:uiPriority w:val="0"/>
    <w:pPr>
      <w:ind w:left="100" w:leftChars="2500"/>
    </w:pPr>
  </w:style>
  <w:style w:type="paragraph" w:styleId="6">
    <w:name w:val="Balloon Text"/>
    <w:basedOn w:val="1"/>
    <w:link w:val="71"/>
    <w:qFormat/>
    <w:uiPriority w:val="0"/>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page number"/>
    <w:basedOn w:val="12"/>
    <w:qFormat/>
    <w:uiPriority w:val="0"/>
  </w:style>
  <w:style w:type="paragraph" w:customStyle="1" w:styleId="14">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character" w:customStyle="1" w:styleId="15">
    <w:name w:val="页眉 字符"/>
    <w:basedOn w:val="12"/>
    <w:link w:val="8"/>
    <w:semiHidden/>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样式261"/>
    <w:qFormat/>
    <w:uiPriority w:val="0"/>
    <w:rPr>
      <w:rFonts w:hint="eastAsia" w:ascii="黑体" w:eastAsia="黑体"/>
      <w:color w:val="000000"/>
      <w:sz w:val="30"/>
      <w:szCs w:val="30"/>
    </w:rPr>
  </w:style>
  <w:style w:type="paragraph" w:customStyle="1" w:styleId="18">
    <w:name w:val="et1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
    <w:name w:val="et2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
    <w:name w:val="et1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1">
    <w:name w:val="et15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2">
    <w:name w:val="et2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23">
    <w:name w:val="et119"/>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4">
    <w:name w:val="et15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5">
    <w:name w:val="et24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26">
    <w:name w:val="et217"/>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7">
    <w:name w:val="et1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8">
    <w:name w:val="et14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9">
    <w:name w:val="et2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0">
    <w:name w:val="et13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1">
    <w:name w:val="et1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333300"/>
      <w:kern w:val="0"/>
      <w:sz w:val="20"/>
      <w:szCs w:val="20"/>
    </w:rPr>
  </w:style>
  <w:style w:type="paragraph" w:customStyle="1" w:styleId="32">
    <w:name w:val="et1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3">
    <w:name w:val="et254"/>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4">
    <w:name w:val="et260"/>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35">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36">
    <w:name w:val="et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7">
    <w:name w:val="et15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38">
    <w:name w:val="et23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39">
    <w:name w:val="et1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0">
    <w:name w:val="et2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41">
    <w:name w:val="et10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2">
    <w:name w:val="et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3">
    <w:name w:val="et1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4">
    <w:name w:val="et277"/>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character" w:customStyle="1" w:styleId="45">
    <w:name w:val="批注文字 字符"/>
    <w:basedOn w:val="12"/>
    <w:link w:val="4"/>
    <w:qFormat/>
    <w:uiPriority w:val="0"/>
    <w:rPr>
      <w:rFonts w:ascii="Calibri" w:hAnsi="Calibri" w:eastAsia="宋体" w:cs="Times New Roman"/>
      <w:sz w:val="28"/>
    </w:rPr>
  </w:style>
  <w:style w:type="paragraph" w:customStyle="1" w:styleId="46">
    <w:name w:val="et10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47">
    <w:name w:val="et1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48">
    <w:name w:val="et21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49">
    <w:name w:val="et1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0">
    <w:name w:val="et16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1">
    <w:name w:val="et226"/>
    <w:basedOn w:val="1"/>
    <w:qFormat/>
    <w:uiPriority w:val="0"/>
    <w:pPr>
      <w:widowControl/>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52">
    <w:name w:val="et23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3">
    <w:name w:val="et239"/>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54">
    <w:name w:val="et1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5">
    <w:name w:val="et221"/>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56">
    <w:name w:val="et12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7">
    <w:name w:val="et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8">
    <w:name w:val="et1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59">
    <w:name w:val="et229"/>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60">
    <w:name w:val="et1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1">
    <w:name w:val="et25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2">
    <w:name w:val="et210"/>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3">
    <w:name w:val="et2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4">
    <w:name w:val="et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5">
    <w:name w:val="et1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66">
    <w:name w:val="et22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67">
    <w:name w:val="et2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8">
    <w:name w:val="et20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69">
    <w:name w:val="Char Char Char Char"/>
    <w:basedOn w:val="1"/>
    <w:qFormat/>
    <w:uiPriority w:val="0"/>
    <w:rPr>
      <w:rFonts w:ascii="Times New Roman" w:hAnsi="Times New Roman" w:eastAsia="宋体"/>
      <w:sz w:val="21"/>
      <w:szCs w:val="20"/>
    </w:rPr>
  </w:style>
  <w:style w:type="paragraph" w:customStyle="1" w:styleId="70">
    <w:name w:val="et19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character" w:customStyle="1" w:styleId="71">
    <w:name w:val="批注框文本 字符"/>
    <w:basedOn w:val="12"/>
    <w:link w:val="6"/>
    <w:qFormat/>
    <w:uiPriority w:val="0"/>
    <w:rPr>
      <w:rFonts w:ascii="仿宋_GB2312" w:hAnsi="新宋体" w:eastAsia="仿宋_GB2312" w:cs="Times New Roman"/>
      <w:sz w:val="18"/>
      <w:szCs w:val="18"/>
    </w:rPr>
  </w:style>
  <w:style w:type="paragraph" w:customStyle="1" w:styleId="72">
    <w:name w:val="et232"/>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73">
    <w:name w:val="et14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4">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5">
    <w:name w:val="et2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6">
    <w:name w:val="et1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77">
    <w:name w:val="et2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78">
    <w:name w:val="et24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79">
    <w:name w:val="et105"/>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0">
    <w:name w:val="et1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1">
    <w:name w:val="et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82">
    <w:name w:val="et2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83">
    <w:name w:val="et2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4">
    <w:name w:val="et258"/>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85">
    <w:name w:val="et103"/>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6">
    <w:name w:val="et1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87">
    <w:name w:val="et1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8">
    <w:name w:val="et1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89">
    <w:name w:val="et1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0">
    <w:name w:val="et192"/>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91">
    <w:name w:val="et15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2">
    <w:name w:val="et14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3">
    <w:name w:val="et25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94">
    <w:name w:val="et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5">
    <w:name w:val="et23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6">
    <w:name w:val="et1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7">
    <w:name w:val="et1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98">
    <w:name w:val="et26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99">
    <w:name w:val="et231"/>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00">
    <w:name w:val="et1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1">
    <w:name w:val="et12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2">
    <w:name w:val="et1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3">
    <w:name w:val="et1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4">
    <w:name w:val="et12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5">
    <w:name w:val="et252"/>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06">
    <w:name w:val="et1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07">
    <w:name w:val="et22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08">
    <w:name w:val="et251"/>
    <w:basedOn w:val="1"/>
    <w:qFormat/>
    <w:uiPriority w:val="0"/>
    <w:pPr>
      <w:widowControl/>
      <w:pBdr>
        <w:top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09">
    <w:name w:val="et14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0">
    <w:name w:val="et19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36"/>
      <w:szCs w:val="36"/>
    </w:rPr>
  </w:style>
  <w:style w:type="paragraph" w:customStyle="1" w:styleId="111">
    <w:name w:val="et1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2">
    <w:name w:val="et27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13">
    <w:name w:val="et12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4">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5">
    <w:name w:val="et14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16">
    <w:name w:val="et255"/>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17">
    <w:name w:val="et280"/>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rPr>
  </w:style>
  <w:style w:type="paragraph" w:customStyle="1" w:styleId="118">
    <w:name w:val="et107"/>
    <w:basedOn w:val="1"/>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19">
    <w:name w:val="et131"/>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0">
    <w:name w:val="et22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1">
    <w:name w:val="et2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2">
    <w:name w:val="et259"/>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23">
    <w:name w:val="et253"/>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4">
    <w:name w:val="et11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5">
    <w:name w:val="et2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6">
    <w:name w:val="et2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27">
    <w:name w:val="et24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28">
    <w:name w:val="et18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29">
    <w:name w:val="et209"/>
    <w:basedOn w:val="1"/>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30">
    <w:name w:val="et2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31">
    <w:name w:val="et15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2">
    <w:name w:val="et1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3">
    <w:name w:val="et278"/>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24"/>
    </w:rPr>
  </w:style>
  <w:style w:type="paragraph" w:customStyle="1" w:styleId="134">
    <w:name w:val="et27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5">
    <w:name w:val="et27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36">
    <w:name w:val="et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37">
    <w:name w:val="et24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38">
    <w:name w:val="et1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39">
    <w:name w:val="et281"/>
    <w:basedOn w:val="1"/>
    <w:qFormat/>
    <w:uiPriority w:val="0"/>
    <w:pPr>
      <w:widowControl/>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40">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1">
    <w:name w:val="et22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2">
    <w:name w:val="et2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43">
    <w:name w:val="et10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4">
    <w:name w:val="et26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5">
    <w:name w:val="et248"/>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46">
    <w:name w:val="et1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47">
    <w:name w:val="正文1 Char Char Char"/>
    <w:basedOn w:val="1"/>
    <w:qFormat/>
    <w:uiPriority w:val="0"/>
    <w:pPr>
      <w:spacing w:line="360" w:lineRule="auto"/>
      <w:ind w:firstLine="200" w:firstLineChars="200"/>
    </w:pPr>
  </w:style>
  <w:style w:type="paragraph" w:customStyle="1" w:styleId="148">
    <w:name w:val="et10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49">
    <w:name w:val="et19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0">
    <w:name w:val="Char1"/>
    <w:basedOn w:val="1"/>
    <w:qFormat/>
    <w:uiPriority w:val="0"/>
    <w:rPr>
      <w:rFonts w:ascii="Times New Roman" w:hAnsi="Times New Roman" w:eastAsia="宋体"/>
      <w:sz w:val="21"/>
    </w:rPr>
  </w:style>
  <w:style w:type="paragraph" w:customStyle="1" w:styleId="151">
    <w:name w:val="et15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2">
    <w:name w:val="et240"/>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3">
    <w:name w:val="et1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4">
    <w:name w:val="et27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55">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6">
    <w:name w:val="et243"/>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57">
    <w:name w:val="et1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8">
    <w:name w:val="et1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59">
    <w:name w:val="et1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0">
    <w:name w:val="et2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styleId="161">
    <w:name w:val="List Paragraph"/>
    <w:basedOn w:val="1"/>
    <w:qFormat/>
    <w:uiPriority w:val="0"/>
    <w:pPr>
      <w:spacing w:line="360" w:lineRule="auto"/>
      <w:ind w:firstLine="420" w:firstLineChars="200"/>
    </w:pPr>
    <w:rPr>
      <w:rFonts w:ascii="Calibri" w:hAnsi="Calibri" w:eastAsia="宋体"/>
      <w:sz w:val="28"/>
      <w:szCs w:val="22"/>
    </w:rPr>
  </w:style>
  <w:style w:type="paragraph" w:customStyle="1" w:styleId="162">
    <w:name w:val="et15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3">
    <w:name w:val="et224"/>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4">
    <w:name w:val="et228"/>
    <w:basedOn w:val="1"/>
    <w:qFormat/>
    <w:uiPriority w:val="0"/>
    <w:pPr>
      <w:widowControl/>
      <w:pBdr>
        <w:top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65">
    <w:name w:val="et26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6">
    <w:name w:val="et1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67">
    <w:name w:val="et19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68">
    <w:name w:val="et1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69">
    <w:name w:val="et225"/>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0">
    <w:name w:val="et1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1">
    <w:name w:val="et24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72">
    <w:name w:val="et2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b/>
      <w:bCs/>
      <w:color w:val="000000"/>
      <w:kern w:val="0"/>
      <w:sz w:val="20"/>
      <w:szCs w:val="20"/>
    </w:rPr>
  </w:style>
  <w:style w:type="paragraph" w:customStyle="1" w:styleId="173">
    <w:name w:val="et19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4">
    <w:name w:val="et1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5">
    <w:name w:val="et1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6">
    <w:name w:val="et206"/>
    <w:basedOn w:val="1"/>
    <w:qFormat/>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7">
    <w:name w:val="et257"/>
    <w:basedOn w:val="1"/>
    <w:qFormat/>
    <w:uiPriority w:val="0"/>
    <w:pPr>
      <w:widowControl/>
      <w:pBdr>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8">
    <w:name w:val="et15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79">
    <w:name w:val="et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0">
    <w:name w:val="et1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1">
    <w:name w:val="et201"/>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2">
    <w:name w:val="et21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83">
    <w:name w:val="et13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4">
    <w:name w:val="et23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85">
    <w:name w:val="et1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6">
    <w:name w:val="et211"/>
    <w:basedOn w:val="1"/>
    <w:qFormat/>
    <w:uiPriority w:val="0"/>
    <w:pPr>
      <w:widowControl/>
      <w:pBdr>
        <w:top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7">
    <w:name w:val="et16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88">
    <w:name w:val="et23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9">
    <w:name w:val="et273"/>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4"/>
    </w:rPr>
  </w:style>
  <w:style w:type="paragraph" w:customStyle="1" w:styleId="190">
    <w:name w:val="et244"/>
    <w:basedOn w:val="1"/>
    <w:qFormat/>
    <w:uiPriority w:val="0"/>
    <w:pPr>
      <w:widowControl/>
      <w:pBdr>
        <w:top w:val="single" w:color="808000" w:sz="4" w:space="0"/>
        <w:left w:val="single" w:color="808000" w:sz="4" w:space="0"/>
        <w:bottom w:val="single" w:color="808000" w:sz="4" w:space="0"/>
        <w:right w:val="single" w:color="808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1">
    <w:name w:val="et1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2">
    <w:name w:val="et14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3">
    <w:name w:val="et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4">
    <w:name w:val="et247"/>
    <w:basedOn w:val="1"/>
    <w:qFormat/>
    <w:uiPriority w:val="0"/>
    <w:pPr>
      <w:widowControl/>
      <w:pBdr>
        <w:top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195">
    <w:name w:val="et18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196">
    <w:name w:val="et204"/>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97">
    <w:name w:val="et2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8">
    <w:name w:val="et1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99">
    <w:name w:val="et1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00">
    <w:name w:val="et14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paragraph" w:customStyle="1" w:styleId="201">
    <w:name w:val="et270"/>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02">
    <w:name w:val="et20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character" w:customStyle="1" w:styleId="203">
    <w:name w:val="日期 字符"/>
    <w:basedOn w:val="12"/>
    <w:link w:val="5"/>
    <w:qFormat/>
    <w:uiPriority w:val="0"/>
    <w:rPr>
      <w:rFonts w:ascii="仿宋_GB2312" w:hAnsi="新宋体" w:eastAsia="仿宋_GB2312" w:cs="Times New Roman"/>
      <w:sz w:val="32"/>
      <w:szCs w:val="24"/>
    </w:rPr>
  </w:style>
  <w:style w:type="paragraph" w:customStyle="1" w:styleId="204">
    <w:name w:val="et279"/>
    <w:basedOn w:val="1"/>
    <w:qFormat/>
    <w:uiPriority w:val="0"/>
    <w:pPr>
      <w:widowControl/>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05">
    <w:name w:val="et1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eastAsia="宋体" w:cs="宋体"/>
      <w:color w:val="000000"/>
      <w:kern w:val="0"/>
      <w:sz w:val="20"/>
      <w:szCs w:val="20"/>
    </w:rPr>
  </w:style>
  <w:style w:type="character" w:customStyle="1" w:styleId="206">
    <w:name w:val="NormalCharacter"/>
    <w:semiHidden/>
    <w:qFormat/>
    <w:uiPriority w:val="0"/>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24A00-6EEF-4E1D-97DA-ABC0E4787936}">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9</Pages>
  <Words>3505</Words>
  <Characters>3921</Characters>
  <Lines>30</Lines>
  <Paragraphs>8</Paragraphs>
  <TotalTime>3</TotalTime>
  <ScaleCrop>false</ScaleCrop>
  <LinksUpToDate>false</LinksUpToDate>
  <CharactersWithSpaces>3953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2021-07-29T01:18:00Z</dcterms:created>
  <dc:creator>赵蔚红</dc:creator>
  <cp:lastModifiedBy>Aquamarln</cp:lastModifiedBy>
  <dcterms:modified xsi:type="dcterms:W3CDTF">2023-07-31T01:43:13Z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523E114F4347407193DA899F320A7EE5</vt:lpwstr>
  </property>
</Properties>
</file>